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FCF1" w14:textId="7E96B8A0" w:rsidR="00D321B1" w:rsidRPr="00CC75A2" w:rsidRDefault="00844195" w:rsidP="00237671">
      <w:pPr>
        <w:pStyle w:val="Heading1"/>
      </w:pPr>
      <w:bookmarkStart w:id="0" w:name="_Toc116384989"/>
      <w:bookmarkStart w:id="1" w:name="_Toc118371952"/>
      <w:bookmarkStart w:id="2" w:name="_Toc140737826"/>
      <w:bookmarkStart w:id="3" w:name="_Toc177382529"/>
      <w:bookmarkStart w:id="4" w:name="_Toc177633010"/>
      <w:bookmarkStart w:id="5" w:name="_Toc177636005"/>
      <w:bookmarkStart w:id="6" w:name="_Toc298503545"/>
      <w:r w:rsidRPr="00CC75A2">
        <w:t>Lab 4.1</w:t>
      </w:r>
      <w:r w:rsidR="00D321B1" w:rsidRPr="00CC75A2">
        <w:t xml:space="preserve">:  Regulation of </w:t>
      </w:r>
      <w:r w:rsidR="00582F04" w:rsidRPr="00CC75A2">
        <w:t>G</w:t>
      </w:r>
      <w:r w:rsidR="00D321B1" w:rsidRPr="00CC75A2">
        <w:t xml:space="preserve">ene </w:t>
      </w:r>
      <w:r w:rsidR="00582F04" w:rsidRPr="00CC75A2">
        <w:t>E</w:t>
      </w:r>
      <w:r w:rsidR="00D321B1" w:rsidRPr="00CC75A2">
        <w:t>xpression</w:t>
      </w:r>
      <w:bookmarkEnd w:id="0"/>
      <w:bookmarkEnd w:id="1"/>
      <w:bookmarkEnd w:id="2"/>
      <w:r w:rsidR="00D321B1" w:rsidRPr="00CC75A2">
        <w:t xml:space="preserve"> by the </w:t>
      </w:r>
      <w:r w:rsidR="00D321B1" w:rsidRPr="00CC75A2">
        <w:rPr>
          <w:i/>
        </w:rPr>
        <w:t>lac</w:t>
      </w:r>
      <w:r w:rsidR="00D321B1" w:rsidRPr="00CC75A2">
        <w:t xml:space="preserve"> </w:t>
      </w:r>
      <w:r w:rsidR="00582F04" w:rsidRPr="00CC75A2">
        <w:t>R</w:t>
      </w:r>
      <w:r w:rsidR="00D321B1" w:rsidRPr="00CC75A2">
        <w:t>epressor</w:t>
      </w:r>
      <w:bookmarkEnd w:id="3"/>
      <w:bookmarkEnd w:id="4"/>
      <w:bookmarkEnd w:id="5"/>
      <w:bookmarkEnd w:id="6"/>
    </w:p>
    <w:p w14:paraId="10B2346D" w14:textId="77777777" w:rsidR="00AD04C5" w:rsidRPr="00CC75A2" w:rsidRDefault="00AD04C5" w:rsidP="00AD04C5">
      <w:pPr>
        <w:pStyle w:val="Heading1"/>
        <w:jc w:val="both"/>
        <w:rPr>
          <w:b w:val="0"/>
        </w:rPr>
      </w:pPr>
      <w:bookmarkStart w:id="7" w:name="_Toc177382530"/>
      <w:bookmarkStart w:id="8" w:name="_Toc177634086"/>
      <w:bookmarkStart w:id="9" w:name="_Toc177636006"/>
    </w:p>
    <w:p w14:paraId="584F8E07" w14:textId="21AD4EBC" w:rsidR="00D321B1" w:rsidRPr="00CC75A2" w:rsidRDefault="00D321B1" w:rsidP="00AD04C5">
      <w:pPr>
        <w:pStyle w:val="Heading1"/>
        <w:jc w:val="both"/>
      </w:pPr>
      <w:r w:rsidRPr="00CC75A2">
        <w:t>Introduction – prokaryotic operons</w:t>
      </w:r>
      <w:bookmarkEnd w:id="7"/>
      <w:bookmarkEnd w:id="8"/>
      <w:bookmarkEnd w:id="9"/>
    </w:p>
    <w:p w14:paraId="7F0892A2" w14:textId="77777777" w:rsidR="00D321B1" w:rsidRPr="00CC75A2" w:rsidRDefault="00D321B1" w:rsidP="00B23D61">
      <w:pPr>
        <w:jc w:val="left"/>
      </w:pPr>
      <w:r w:rsidRPr="00CC75A2">
        <w:t xml:space="preserve">Some genes are expressed </w:t>
      </w:r>
      <w:r w:rsidRPr="00CC75A2">
        <w:rPr>
          <w:i/>
        </w:rPr>
        <w:t>constitutively</w:t>
      </w:r>
      <w:r w:rsidRPr="00CC75A2">
        <w:t xml:space="preserve"> – all the time.  The products of constitutively-expressed genes are needed all the time, </w:t>
      </w:r>
      <w:r w:rsidRPr="00CC75A2">
        <w:rPr>
          <w:i/>
        </w:rPr>
        <w:t>e.g.</w:t>
      </w:r>
      <w:r w:rsidRPr="00CC75A2">
        <w:t xml:space="preserve"> enzymes for glycolysis, or the RNAs that are the structural components of the ribosome.  Other gene products are not needed (or wanted) at all times – the expression of these genes is </w:t>
      </w:r>
      <w:r w:rsidRPr="00CC75A2">
        <w:rPr>
          <w:i/>
        </w:rPr>
        <w:t>regulated</w:t>
      </w:r>
      <w:r w:rsidRPr="00CC75A2">
        <w:t xml:space="preserve">.  You have heard about some regulated genes in lecture, </w:t>
      </w:r>
      <w:r w:rsidRPr="00CC75A2">
        <w:rPr>
          <w:i/>
        </w:rPr>
        <w:t>e.g.</w:t>
      </w:r>
      <w:r w:rsidRPr="00CC75A2">
        <w:t xml:space="preserve"> those involved in cell differentiation.</w:t>
      </w:r>
    </w:p>
    <w:p w14:paraId="06EE46DE" w14:textId="77777777" w:rsidR="00D321B1" w:rsidRPr="00CC75A2" w:rsidRDefault="00D321B1" w:rsidP="00B23D61">
      <w:pPr>
        <w:jc w:val="left"/>
      </w:pPr>
      <w:r w:rsidRPr="00CC75A2">
        <w:t xml:space="preserve">The </w:t>
      </w:r>
      <w:r w:rsidRPr="00CC75A2">
        <w:rPr>
          <w:i/>
        </w:rPr>
        <w:t xml:space="preserve">Escherichia coli lac </w:t>
      </w:r>
      <w:r w:rsidRPr="00CC75A2">
        <w:t xml:space="preserve">operon was one of the first gene regulation system to be studied.  It led Jacob and Monod to enunciate the principles of </w:t>
      </w:r>
      <w:r w:rsidRPr="00CC75A2">
        <w:rPr>
          <w:i/>
        </w:rPr>
        <w:t>operon</w:t>
      </w:r>
      <w:r w:rsidRPr="00CC75A2">
        <w:t xml:space="preserve"> organization and regulation</w:t>
      </w:r>
      <w:r w:rsidRPr="00CC75A2">
        <w:rPr>
          <w:rStyle w:val="FootnoteReference"/>
          <w:sz w:val="22"/>
        </w:rPr>
        <w:footnoteReference w:id="1"/>
      </w:r>
      <w:r w:rsidRPr="00CC75A2">
        <w:t>, for which they were awarded the Nobel Prize in 1965</w:t>
      </w:r>
      <w:r w:rsidRPr="00CC75A2">
        <w:rPr>
          <w:rStyle w:val="FootnoteReference"/>
          <w:sz w:val="22"/>
        </w:rPr>
        <w:footnoteReference w:id="2"/>
      </w:r>
      <w:r w:rsidRPr="00CC75A2">
        <w:t xml:space="preserve">.  Examples of these original ideas, essentially unchanged, are found in all cells.  </w:t>
      </w:r>
    </w:p>
    <w:p w14:paraId="7E21696B" w14:textId="64434FBF" w:rsidR="00D321B1" w:rsidRPr="00CC75A2" w:rsidRDefault="00D321B1" w:rsidP="00C75646">
      <w:pPr>
        <w:pStyle w:val="Caption"/>
        <w:ind w:left="0"/>
        <w:jc w:val="left"/>
      </w:pPr>
      <w:r w:rsidRPr="00CC75A2">
        <w:rPr>
          <w:b w:val="0"/>
          <w:sz w:val="24"/>
          <w:szCs w:val="24"/>
        </w:rPr>
        <w:t xml:space="preserve">In prokaryotes, genes are often arranged into a functional group called an </w:t>
      </w:r>
      <w:r w:rsidR="00C75646" w:rsidRPr="00CC75A2">
        <w:rPr>
          <w:b w:val="0"/>
          <w:sz w:val="24"/>
          <w:szCs w:val="24"/>
        </w:rPr>
        <w:t>operon (</w:t>
      </w:r>
      <w:r w:rsidR="00582F04" w:rsidRPr="00CC75A2">
        <w:rPr>
          <w:b w:val="0"/>
          <w:sz w:val="24"/>
          <w:szCs w:val="24"/>
        </w:rPr>
        <w:t>F</w:t>
      </w:r>
      <w:r w:rsidR="00C75646" w:rsidRPr="00CC75A2">
        <w:rPr>
          <w:b w:val="0"/>
          <w:sz w:val="24"/>
          <w:szCs w:val="24"/>
        </w:rPr>
        <w:t>igure 1).</w:t>
      </w:r>
      <w:r w:rsidRPr="00CC75A2">
        <w:t xml:space="preserve">  </w:t>
      </w:r>
      <w:r w:rsidRPr="00CC75A2">
        <w:rPr>
          <w:b w:val="0"/>
          <w:sz w:val="24"/>
          <w:szCs w:val="24"/>
        </w:rPr>
        <w:t>Operons consist of:</w:t>
      </w:r>
    </w:p>
    <w:p w14:paraId="62D6259B" w14:textId="77777777" w:rsidR="00D321B1" w:rsidRPr="00CC75A2" w:rsidRDefault="00D321B1" w:rsidP="00B23D61">
      <w:pPr>
        <w:numPr>
          <w:ilvl w:val="0"/>
          <w:numId w:val="3"/>
        </w:numPr>
        <w:jc w:val="left"/>
      </w:pPr>
      <w:r w:rsidRPr="00CC75A2">
        <w:t xml:space="preserve">a </w:t>
      </w:r>
      <w:r w:rsidRPr="00CC75A2">
        <w:rPr>
          <w:b/>
        </w:rPr>
        <w:t>promoter</w:t>
      </w:r>
      <w:r w:rsidRPr="00CC75A2">
        <w:t xml:space="preserve"> – the binding site on the DNA </w:t>
      </w:r>
      <w:proofErr w:type="spellStart"/>
      <w:r w:rsidRPr="00CC75A2">
        <w:t>for</w:t>
      </w:r>
      <w:proofErr w:type="spellEnd"/>
      <w:r w:rsidRPr="00CC75A2">
        <w:t xml:space="preserve"> RNA polymerase</w:t>
      </w:r>
    </w:p>
    <w:p w14:paraId="4C6D8F56" w14:textId="77777777" w:rsidR="00D321B1" w:rsidRPr="00CC75A2" w:rsidRDefault="00D321B1" w:rsidP="00B23D61">
      <w:pPr>
        <w:numPr>
          <w:ilvl w:val="0"/>
          <w:numId w:val="3"/>
        </w:numPr>
        <w:jc w:val="left"/>
      </w:pPr>
      <w:r w:rsidRPr="00CC75A2">
        <w:t xml:space="preserve">an </w:t>
      </w:r>
      <w:r w:rsidRPr="00CC75A2">
        <w:rPr>
          <w:b/>
        </w:rPr>
        <w:t xml:space="preserve">operator </w:t>
      </w:r>
      <w:r w:rsidRPr="00CC75A2">
        <w:t xml:space="preserve">– the binding site for the repressor protein, in this case </w:t>
      </w:r>
      <w:proofErr w:type="spellStart"/>
      <w:r w:rsidRPr="00CC75A2">
        <w:t>LacI</w:t>
      </w:r>
      <w:proofErr w:type="spellEnd"/>
      <w:r w:rsidRPr="00CC75A2">
        <w:t xml:space="preserve">.  When </w:t>
      </w:r>
      <w:proofErr w:type="spellStart"/>
      <w:r w:rsidRPr="00CC75A2">
        <w:t>LacI</w:t>
      </w:r>
      <w:proofErr w:type="spellEnd"/>
      <w:r w:rsidRPr="00CC75A2">
        <w:t xml:space="preserve"> binds to the operator (</w:t>
      </w:r>
      <w:proofErr w:type="spellStart"/>
      <w:r w:rsidRPr="00CC75A2">
        <w:rPr>
          <w:i/>
        </w:rPr>
        <w:t>lacO</w:t>
      </w:r>
      <w:proofErr w:type="spellEnd"/>
      <w:r w:rsidRPr="00CC75A2">
        <w:t>), RNA polymerase cannot carry out transcription.</w:t>
      </w:r>
      <w:r w:rsidR="00C75646" w:rsidRPr="00CC75A2">
        <w:t xml:space="preserve"> Note that genes and DNA elements are written in italics whereas the protein is written in standard script.</w:t>
      </w:r>
    </w:p>
    <w:p w14:paraId="2220C2E4" w14:textId="77777777" w:rsidR="00D321B1" w:rsidRPr="00CC75A2" w:rsidRDefault="00D321B1" w:rsidP="00B23D61">
      <w:pPr>
        <w:numPr>
          <w:ilvl w:val="0"/>
          <w:numId w:val="3"/>
        </w:numPr>
        <w:jc w:val="left"/>
      </w:pPr>
      <w:r w:rsidRPr="00CC75A2">
        <w:rPr>
          <w:b/>
        </w:rPr>
        <w:t xml:space="preserve">structural genes </w:t>
      </w:r>
      <w:r w:rsidRPr="00CC75A2">
        <w:t xml:space="preserve">that are co-transcribed as a single mRNA molecule, coding for proteins that function together.  In the case of the </w:t>
      </w:r>
      <w:r w:rsidRPr="00CC75A2">
        <w:rPr>
          <w:i/>
        </w:rPr>
        <w:t xml:space="preserve">lac </w:t>
      </w:r>
      <w:r w:rsidRPr="00CC75A2">
        <w:t>operon, these genes code for</w:t>
      </w:r>
    </w:p>
    <w:p w14:paraId="5DE166D7" w14:textId="77777777" w:rsidR="00D321B1" w:rsidRPr="00CC75A2" w:rsidRDefault="00D321B1" w:rsidP="00B23D61">
      <w:pPr>
        <w:numPr>
          <w:ilvl w:val="1"/>
          <w:numId w:val="3"/>
        </w:numPr>
        <w:jc w:val="left"/>
      </w:pPr>
      <w:r w:rsidRPr="00CC75A2">
        <w:sym w:font="Symbol" w:char="F062"/>
      </w:r>
      <w:r w:rsidRPr="00CC75A2">
        <w:t>-galactosidase (LacZ), which breaks the disaccharide lactose into galactose and glucose</w:t>
      </w:r>
    </w:p>
    <w:p w14:paraId="2B3320EC" w14:textId="77777777" w:rsidR="00D321B1" w:rsidRPr="00CC75A2" w:rsidRDefault="00D321B1" w:rsidP="00B23D61">
      <w:pPr>
        <w:numPr>
          <w:ilvl w:val="1"/>
          <w:numId w:val="3"/>
        </w:numPr>
        <w:jc w:val="left"/>
      </w:pPr>
      <w:r w:rsidRPr="00CC75A2">
        <w:t>Lac permease (</w:t>
      </w:r>
      <w:proofErr w:type="spellStart"/>
      <w:r w:rsidRPr="00CC75A2">
        <w:t>LacY</w:t>
      </w:r>
      <w:proofErr w:type="spellEnd"/>
      <w:r w:rsidRPr="00CC75A2">
        <w:t>), a pore protein that facilitates the transport of lactose across the inner membrane</w:t>
      </w:r>
    </w:p>
    <w:p w14:paraId="6382B6E7" w14:textId="77777777" w:rsidR="00D321B1" w:rsidRPr="00CC75A2" w:rsidRDefault="00D321B1" w:rsidP="00B23D61">
      <w:pPr>
        <w:numPr>
          <w:ilvl w:val="1"/>
          <w:numId w:val="3"/>
        </w:numPr>
        <w:jc w:val="left"/>
      </w:pPr>
      <w:r w:rsidRPr="00CC75A2">
        <w:sym w:font="Symbol" w:char="F062"/>
      </w:r>
      <w:r w:rsidRPr="00CC75A2">
        <w:t>-</w:t>
      </w:r>
      <w:proofErr w:type="spellStart"/>
      <w:r w:rsidRPr="00CC75A2">
        <w:t>galactoside</w:t>
      </w:r>
      <w:proofErr w:type="spellEnd"/>
      <w:r w:rsidRPr="00CC75A2">
        <w:t xml:space="preserve"> transacetylase (</w:t>
      </w:r>
      <w:proofErr w:type="spellStart"/>
      <w:r w:rsidRPr="00CC75A2">
        <w:t>LacA</w:t>
      </w:r>
      <w:proofErr w:type="spellEnd"/>
      <w:r w:rsidRPr="00CC75A2">
        <w:t>).</w:t>
      </w:r>
    </w:p>
    <w:p w14:paraId="28AFAC76" w14:textId="77777777" w:rsidR="00D321B1" w:rsidRPr="00CC75A2" w:rsidRDefault="00D321B1" w:rsidP="00B23D61">
      <w:pPr>
        <w:jc w:val="left"/>
      </w:pPr>
      <w:r w:rsidRPr="00CC75A2">
        <w:t xml:space="preserve">The </w:t>
      </w:r>
      <w:r w:rsidRPr="00CC75A2">
        <w:rPr>
          <w:b/>
        </w:rPr>
        <w:t>regulatory gene</w:t>
      </w:r>
      <w:r w:rsidRPr="00CC75A2">
        <w:t xml:space="preserve">, </w:t>
      </w:r>
      <w:proofErr w:type="spellStart"/>
      <w:r w:rsidRPr="00CC75A2">
        <w:rPr>
          <w:i/>
        </w:rPr>
        <w:t>lacI</w:t>
      </w:r>
      <w:proofErr w:type="spellEnd"/>
      <w:r w:rsidRPr="00CC75A2">
        <w:t xml:space="preserve">, encodes the </w:t>
      </w:r>
      <w:proofErr w:type="spellStart"/>
      <w:r w:rsidRPr="00CC75A2">
        <w:t>LacI</w:t>
      </w:r>
      <w:proofErr w:type="spellEnd"/>
      <w:r w:rsidRPr="00CC75A2">
        <w:t xml:space="preserve"> </w:t>
      </w:r>
      <w:r w:rsidRPr="00CC75A2">
        <w:rPr>
          <w:b/>
        </w:rPr>
        <w:t>repressor protein</w:t>
      </w:r>
      <w:r w:rsidRPr="00CC75A2">
        <w:t xml:space="preserve">.  The binding of certain sugars to </w:t>
      </w:r>
      <w:proofErr w:type="spellStart"/>
      <w:r w:rsidRPr="00CC75A2">
        <w:t>LacI</w:t>
      </w:r>
      <w:proofErr w:type="spellEnd"/>
      <w:r w:rsidRPr="00CC75A2">
        <w:t xml:space="preserve"> causes it to dissociate from the operator site, which then allows transcription of the structural genes (</w:t>
      </w:r>
      <w:r w:rsidR="006C67CE" w:rsidRPr="00CC75A2">
        <w:t>Figure 1</w:t>
      </w:r>
      <w:r w:rsidRPr="00CC75A2">
        <w:fldChar w:fldCharType="begin"/>
      </w:r>
      <w:r w:rsidRPr="00CC75A2">
        <w:instrText xml:space="preserve"> REF _Ref116529678 \h </w:instrText>
      </w:r>
      <w:r w:rsidR="00844195" w:rsidRPr="00CC75A2">
        <w:instrText xml:space="preserve"> \* MERGEFORMAT </w:instrText>
      </w:r>
      <w:r w:rsidRPr="00CC75A2">
        <w:fldChar w:fldCharType="end"/>
      </w:r>
      <w:r w:rsidRPr="00CC75A2">
        <w:t>).</w:t>
      </w:r>
    </w:p>
    <w:p w14:paraId="7677FDF6" w14:textId="77777777" w:rsidR="00D321B1" w:rsidRPr="00CC75A2" w:rsidRDefault="00D321B1" w:rsidP="00D321B1">
      <w:r w:rsidRPr="00CC75A2">
        <w:rPr>
          <w:noProof/>
        </w:rPr>
        <w:drawing>
          <wp:inline distT="0" distB="0" distL="0" distR="0" wp14:anchorId="6C18AD88" wp14:editId="09C634C5">
            <wp:extent cx="5715000" cy="579120"/>
            <wp:effectExtent l="0" t="0" r="0" b="5080"/>
            <wp:docPr id="30" name="Picture 30" descr="Lac_oper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ac_oper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3A5D4" w14:textId="77777777" w:rsidR="00D321B1" w:rsidRPr="00CC75A2" w:rsidRDefault="006C67CE" w:rsidP="00AD04C5">
      <w:pPr>
        <w:pStyle w:val="Caption"/>
        <w:jc w:val="left"/>
      </w:pPr>
      <w:bookmarkStart w:id="10" w:name="_Ref116529678"/>
      <w:r w:rsidRPr="00CC75A2">
        <w:t>Figure 1</w:t>
      </w:r>
      <w:r w:rsidR="00D321B1" w:rsidRPr="00CC75A2">
        <w:fldChar w:fldCharType="begin"/>
      </w:r>
      <w:r w:rsidR="00D321B1" w:rsidRPr="00CC75A2">
        <w:instrText xml:space="preserve"> SEQ Figure \* ARABIC </w:instrText>
      </w:r>
      <w:r w:rsidR="00D321B1" w:rsidRPr="00CC75A2">
        <w:fldChar w:fldCharType="end"/>
      </w:r>
      <w:bookmarkEnd w:id="10"/>
      <w:r w:rsidR="00D321B1" w:rsidRPr="00CC75A2">
        <w:t xml:space="preserve">.  A schematic representation of the </w:t>
      </w:r>
      <w:r w:rsidR="00D321B1" w:rsidRPr="00CC75A2">
        <w:rPr>
          <w:i/>
        </w:rPr>
        <w:t>lac</w:t>
      </w:r>
      <w:r w:rsidR="00D321B1" w:rsidRPr="00CC75A2">
        <w:t xml:space="preserve"> operon</w:t>
      </w:r>
    </w:p>
    <w:p w14:paraId="1E8D88F7" w14:textId="0019D2C7" w:rsidR="00D321B1" w:rsidRPr="00CC75A2" w:rsidRDefault="00D321B1" w:rsidP="00B23D61">
      <w:pPr>
        <w:jc w:val="left"/>
      </w:pPr>
      <w:r w:rsidRPr="00CC75A2">
        <w:lastRenderedPageBreak/>
        <w:t xml:space="preserve">After lactose is taken up by the cell, </w:t>
      </w:r>
      <w:r w:rsidRPr="00CC75A2">
        <w:sym w:font="Symbol" w:char="F062"/>
      </w:r>
      <w:r w:rsidRPr="00CC75A2">
        <w:t xml:space="preserve">-galactosidase catalyzes its isomerization to allolactose (structure in </w:t>
      </w:r>
      <w:r w:rsidRPr="00CC75A2">
        <w:fldChar w:fldCharType="begin"/>
      </w:r>
      <w:r w:rsidRPr="00CC75A2">
        <w:instrText xml:space="preserve"> REF _Ref177634757 \h  \* MERGEFORMAT </w:instrText>
      </w:r>
      <w:r w:rsidRPr="00CC75A2">
        <w:fldChar w:fldCharType="separate"/>
      </w:r>
      <w:r w:rsidR="00582F04" w:rsidRPr="00CC75A2">
        <w:t>F</w:t>
      </w:r>
      <w:r w:rsidR="00B23D61" w:rsidRPr="00CC75A2">
        <w:t>igure</w:t>
      </w:r>
      <w:r w:rsidRPr="00CC75A2">
        <w:fldChar w:fldCharType="end"/>
      </w:r>
      <w:r w:rsidR="00B23D61" w:rsidRPr="00CC75A2">
        <w:t xml:space="preserve"> 2</w:t>
      </w:r>
      <w:r w:rsidRPr="00CC75A2">
        <w:t xml:space="preserve">).  Allolactose binds to Lac I, which lowers its affinity for DNA.  The dissociation of </w:t>
      </w:r>
      <w:proofErr w:type="spellStart"/>
      <w:r w:rsidRPr="00CC75A2">
        <w:t>LacI</w:t>
      </w:r>
      <w:proofErr w:type="spellEnd"/>
      <w:r w:rsidRPr="00CC75A2">
        <w:t xml:space="preserve"> allows RNA polymerase to begin transcription.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94"/>
        <w:gridCol w:w="6106"/>
      </w:tblGrid>
      <w:tr w:rsidR="00D321B1" w:rsidRPr="00CC75A2" w14:paraId="15DA778C" w14:textId="77777777" w:rsidTr="00C178DB">
        <w:trPr>
          <w:cantSplit/>
        </w:trPr>
        <w:tc>
          <w:tcPr>
            <w:tcW w:w="2898" w:type="dxa"/>
            <w:vAlign w:val="center"/>
          </w:tcPr>
          <w:p w14:paraId="36CC2221" w14:textId="77777777" w:rsidR="00D321B1" w:rsidRPr="00CC75A2" w:rsidRDefault="00D321B1" w:rsidP="00B23D61">
            <w:pPr>
              <w:jc w:val="left"/>
              <w:rPr>
                <w:color w:val="0000FF"/>
              </w:rPr>
            </w:pPr>
            <w:r w:rsidRPr="00CC75A2">
              <w:rPr>
                <w:noProof/>
                <w:color w:val="0000FF"/>
              </w:rPr>
              <w:drawing>
                <wp:inline distT="0" distB="0" distL="0" distR="0" wp14:anchorId="13E30E82" wp14:editId="08B059C3">
                  <wp:extent cx="1645920" cy="1295400"/>
                  <wp:effectExtent l="0" t="0" r="5080" b="0"/>
                  <wp:docPr id="31" name="Picture 31" descr="200px-Allolactos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00px-Allolactos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95" r="-510" b="-4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620E2" w14:textId="77777777" w:rsidR="00D321B1" w:rsidRPr="00CC75A2" w:rsidRDefault="00D321B1" w:rsidP="00B23D61">
            <w:pPr>
              <w:jc w:val="left"/>
            </w:pPr>
            <w:bookmarkStart w:id="11" w:name="_Ref177634757"/>
            <w:r w:rsidRPr="00CC75A2">
              <w:rPr>
                <w:b/>
                <w:sz w:val="20"/>
              </w:rPr>
              <w:t>Figure</w:t>
            </w:r>
            <w:bookmarkEnd w:id="11"/>
            <w:r w:rsidR="00B23D61" w:rsidRPr="00CC75A2">
              <w:rPr>
                <w:b/>
                <w:sz w:val="20"/>
              </w:rPr>
              <w:t xml:space="preserve"> 2</w:t>
            </w:r>
            <w:r w:rsidRPr="00CC75A2">
              <w:rPr>
                <w:b/>
                <w:sz w:val="20"/>
              </w:rPr>
              <w:t>.</w:t>
            </w:r>
            <w:r w:rsidRPr="00CC75A2">
              <w:rPr>
                <w:sz w:val="20"/>
              </w:rPr>
              <w:t xml:space="preserve">  The disaccharide allolactose</w:t>
            </w:r>
            <w:r w:rsidRPr="00CC75A2">
              <w:t>.</w:t>
            </w:r>
          </w:p>
        </w:tc>
        <w:tc>
          <w:tcPr>
            <w:tcW w:w="6318" w:type="dxa"/>
            <w:vAlign w:val="center"/>
          </w:tcPr>
          <w:p w14:paraId="2D685039" w14:textId="66126667" w:rsidR="00D321B1" w:rsidRPr="00CC75A2" w:rsidRDefault="00D321B1" w:rsidP="00B23D61">
            <w:pPr>
              <w:keepNext/>
              <w:jc w:val="left"/>
            </w:pPr>
            <w:r w:rsidRPr="00CC75A2">
              <w:rPr>
                <w:i/>
              </w:rPr>
              <w:t>E. coli</w:t>
            </w:r>
            <w:r w:rsidRPr="00CC75A2">
              <w:t xml:space="preserve"> makes more efficient use of glucose than any other carbon (and energy) source</w:t>
            </w:r>
            <w:r w:rsidR="00582F04" w:rsidRPr="00CC75A2">
              <w:t>, partly because glucose is the first substrate in glycolysis</w:t>
            </w:r>
            <w:r w:rsidRPr="00CC75A2">
              <w:t xml:space="preserve">.  So, the availability of glucose can inhibit lactose utilization.  This is mediated through cAMP (cyclic adenosine monophosphate), an inverse indicator of glucose availability, </w:t>
            </w:r>
            <w:r w:rsidRPr="00CC75A2">
              <w:rPr>
                <w:i/>
              </w:rPr>
              <w:t>i.e.</w:t>
            </w:r>
            <w:r w:rsidRPr="00CC75A2">
              <w:t xml:space="preserve"> the smaller the glucose concentration, the greater the concentration of cAMP.  cAMP binds to cAMP-dependent catabolite activator protein (CAP).  The cAMP-CAP complex binds to the promoter region increasing the affinity of binding of RNA polymerase.  Therefore, glucose starvation should increase </w:t>
            </w:r>
            <w:r w:rsidRPr="00CC75A2">
              <w:rPr>
                <w:i/>
              </w:rPr>
              <w:t>lac</w:t>
            </w:r>
            <w:r w:rsidRPr="00CC75A2">
              <w:t xml:space="preserve"> structural gene transcription.</w:t>
            </w:r>
          </w:p>
        </w:tc>
      </w:tr>
    </w:tbl>
    <w:p w14:paraId="7928EB5B" w14:textId="6AEF7C45" w:rsidR="00D321B1" w:rsidRPr="00CC75A2" w:rsidRDefault="00D321B1" w:rsidP="00B23D61">
      <w:pPr>
        <w:pStyle w:val="Heading4"/>
        <w:jc w:val="left"/>
        <w:rPr>
          <w:rFonts w:ascii="Times New Roman" w:hAnsi="Times New Roman" w:cs="Times New Roman"/>
        </w:rPr>
      </w:pPr>
      <w:r w:rsidRPr="00CC75A2">
        <w:rPr>
          <w:rFonts w:ascii="Times New Roman" w:hAnsi="Times New Roman" w:cs="Times New Roman"/>
        </w:rPr>
        <w:t xml:space="preserve">Detecting </w:t>
      </w:r>
      <w:r w:rsidRPr="00CC75A2">
        <w:rPr>
          <w:rFonts w:ascii="Times New Roman" w:hAnsi="Times New Roman" w:cs="Times New Roman"/>
          <w:i/>
        </w:rPr>
        <w:t>lac</w:t>
      </w:r>
      <w:r w:rsidRPr="00CC75A2">
        <w:rPr>
          <w:rFonts w:ascii="Times New Roman" w:hAnsi="Times New Roman" w:cs="Times New Roman"/>
        </w:rPr>
        <w:t xml:space="preserve"> operon activity</w:t>
      </w:r>
    </w:p>
    <w:p w14:paraId="31D9F66C" w14:textId="77777777" w:rsidR="00D321B1" w:rsidRPr="00CC75A2" w:rsidRDefault="00D321B1" w:rsidP="00B23D61">
      <w:pPr>
        <w:jc w:val="left"/>
      </w:pPr>
      <w:r w:rsidRPr="00CC75A2">
        <w:t xml:space="preserve">A significant experimental tool in studies of gene regulation is the </w:t>
      </w:r>
      <w:r w:rsidRPr="00CC75A2">
        <w:rPr>
          <w:i/>
        </w:rPr>
        <w:t>reporter</w:t>
      </w:r>
      <w:r w:rsidRPr="00CC75A2">
        <w:t xml:space="preserve"> gene, which produces a signal in proportion to transcriptional activity, when it is placed downstream of the promoter under investigation.  </w:t>
      </w:r>
    </w:p>
    <w:p w14:paraId="11CF6A86" w14:textId="77777777" w:rsidR="00D321B1" w:rsidRPr="00CC75A2" w:rsidRDefault="00D321B1" w:rsidP="00B23D61">
      <w:pPr>
        <w:jc w:val="left"/>
      </w:pPr>
      <w:r w:rsidRPr="00CC75A2">
        <w:t xml:space="preserve">In this lab, we will use an </w:t>
      </w:r>
      <w:r w:rsidRPr="00CC75A2">
        <w:rPr>
          <w:i/>
        </w:rPr>
        <w:t>E. coli</w:t>
      </w:r>
      <w:r w:rsidRPr="00CC75A2">
        <w:t xml:space="preserve"> strain that harbors an </w:t>
      </w:r>
      <w:r w:rsidRPr="00CC75A2">
        <w:rPr>
          <w:i/>
        </w:rPr>
        <w:t>expression plasmid</w:t>
      </w:r>
      <w:r w:rsidRPr="00CC75A2">
        <w:t xml:space="preserve">, a genetically-engineered DNA element in which the operator/promoter region has been optimized for protein expression.  The plasmid drives the expression of green fluorescent protein (GFP) under control of </w:t>
      </w:r>
      <w:proofErr w:type="spellStart"/>
      <w:r w:rsidRPr="00CC75A2">
        <w:t>LacI</w:t>
      </w:r>
      <w:proofErr w:type="spellEnd"/>
      <w:r w:rsidRPr="00CC75A2">
        <w:t xml:space="preserve"> and </w:t>
      </w:r>
      <w:proofErr w:type="spellStart"/>
      <w:r w:rsidRPr="00CC75A2">
        <w:rPr>
          <w:i/>
        </w:rPr>
        <w:t>lacO</w:t>
      </w:r>
      <w:proofErr w:type="spellEnd"/>
      <w:r w:rsidRPr="00CC75A2">
        <w:t>.  GFP is fluorescent</w:t>
      </w:r>
      <w:r w:rsidR="00B23D61" w:rsidRPr="00CC75A2">
        <w:t xml:space="preserve"> so it</w:t>
      </w:r>
      <w:r w:rsidRPr="00CC75A2">
        <w:t xml:space="preserve"> can be excited by blue light and emits green light.  </w:t>
      </w:r>
    </w:p>
    <w:p w14:paraId="5D364FA0" w14:textId="77777777" w:rsidR="00D321B1" w:rsidRPr="00CC75A2" w:rsidRDefault="00D321B1" w:rsidP="00B23D61">
      <w:pPr>
        <w:pStyle w:val="Heading4"/>
        <w:jc w:val="left"/>
        <w:rPr>
          <w:rFonts w:ascii="Times New Roman" w:hAnsi="Times New Roman" w:cs="Times New Roman"/>
        </w:rPr>
      </w:pPr>
      <w:r w:rsidRPr="00CC75A2">
        <w:rPr>
          <w:rFonts w:ascii="Times New Roman" w:hAnsi="Times New Roman" w:cs="Times New Roman"/>
        </w:rPr>
        <w:t>Lactose analogues</w:t>
      </w:r>
    </w:p>
    <w:p w14:paraId="079988C4" w14:textId="77777777" w:rsidR="00D321B1" w:rsidRPr="00CC75A2" w:rsidRDefault="00D321B1" w:rsidP="00B23D61">
      <w:pPr>
        <w:jc w:val="left"/>
      </w:pPr>
      <w:r w:rsidRPr="00CC75A2">
        <w:t xml:space="preserve">Lactose is a disaccharide, that is, a two-part sugar consisting of galactose linked to glucose with </w:t>
      </w:r>
      <w:proofErr w:type="spellStart"/>
      <w:r w:rsidRPr="00CC75A2">
        <w:t>glycosidic</w:t>
      </w:r>
      <w:proofErr w:type="spellEnd"/>
      <w:r w:rsidRPr="00CC75A2">
        <w:t xml:space="preserve"> bond.  Analogs of lactose, </w:t>
      </w:r>
      <w:r w:rsidRPr="00CC75A2">
        <w:rPr>
          <w:i/>
        </w:rPr>
        <w:t>i.e.</w:t>
      </w:r>
      <w:r w:rsidRPr="00CC75A2">
        <w:t xml:space="preserve"> chemicals that are similar, but not identical to lactose, can also bind to and deactivate the repressor.  Most analogs are </w:t>
      </w:r>
      <w:proofErr w:type="spellStart"/>
      <w:r w:rsidRPr="00CC75A2">
        <w:t>galactosides</w:t>
      </w:r>
      <w:proofErr w:type="spellEnd"/>
      <w:r w:rsidRPr="00CC75A2">
        <w:t xml:space="preserve"> with another chemical group in place of the glucosyl group of lactose. (See </w:t>
      </w:r>
      <w:r w:rsidR="00B23D61" w:rsidRPr="00CC75A2">
        <w:t>Figure 3</w:t>
      </w:r>
      <w:r w:rsidRPr="00CC75A2">
        <w:fldChar w:fldCharType="begin"/>
      </w:r>
      <w:r w:rsidRPr="00CC75A2">
        <w:instrText xml:space="preserve"> REF _Ref177634868 \h </w:instrText>
      </w:r>
      <w:r w:rsidR="00844195" w:rsidRPr="00CC75A2">
        <w:instrText xml:space="preserve"> \* MERGEFORMAT </w:instrText>
      </w:r>
      <w:r w:rsidRPr="00CC75A2">
        <w:fldChar w:fldCharType="end"/>
      </w:r>
      <w:r w:rsidRPr="00CC75A2">
        <w:t xml:space="preserve">.) We will use isopropyl β-D-1-thiogalactopyranoside (IPTG) in this lab.  IPTG can bind to the repressor protein, but it is not digested by </w:t>
      </w:r>
      <w:r w:rsidRPr="00CC75A2">
        <w:sym w:font="Symbol" w:char="F062"/>
      </w:r>
      <w:r w:rsidRPr="00CC75A2">
        <w:t>-galactosidase.  Thus, IPTG is not consumed and it is not a food source.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856"/>
        <w:gridCol w:w="222"/>
        <w:gridCol w:w="1305"/>
        <w:gridCol w:w="2970"/>
        <w:gridCol w:w="990"/>
      </w:tblGrid>
      <w:tr w:rsidR="00D321B1" w:rsidRPr="00CC75A2" w14:paraId="2C97AB42" w14:textId="77777777" w:rsidTr="00C178DB">
        <w:trPr>
          <w:jc w:val="center"/>
        </w:trPr>
        <w:tc>
          <w:tcPr>
            <w:tcW w:w="0" w:type="auto"/>
            <w:vAlign w:val="center"/>
          </w:tcPr>
          <w:p w14:paraId="2820804D" w14:textId="77777777" w:rsidR="00D321B1" w:rsidRPr="00CC75A2" w:rsidRDefault="00D321B1" w:rsidP="00C178DB">
            <w:pPr>
              <w:keepNext/>
              <w:spacing w:after="0"/>
              <w:jc w:val="right"/>
              <w:rPr>
                <w:lang w:bidi="x-none"/>
              </w:rPr>
            </w:pPr>
            <w:r w:rsidRPr="00CC75A2">
              <w:rPr>
                <w:sz w:val="20"/>
                <w:lang w:bidi="x-none"/>
              </w:rPr>
              <w:t>IPTG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E6CD30" w14:textId="77777777" w:rsidR="00D321B1" w:rsidRPr="00CC75A2" w:rsidRDefault="00D321B1" w:rsidP="00C178DB">
            <w:pPr>
              <w:keepNext/>
              <w:spacing w:after="0"/>
              <w:jc w:val="center"/>
              <w:rPr>
                <w:lang w:bidi="x-none"/>
              </w:rPr>
            </w:pPr>
            <w:r w:rsidRPr="00CC75A2">
              <w:rPr>
                <w:noProof/>
                <w:sz w:val="20"/>
                <w:szCs w:val="20"/>
              </w:rPr>
              <w:drawing>
                <wp:inline distT="0" distB="0" distL="0" distR="0" wp14:anchorId="70703AB8" wp14:editId="1C899D7B">
                  <wp:extent cx="838200" cy="640080"/>
                  <wp:effectExtent l="0" t="0" r="0" b="0"/>
                  <wp:docPr id="32" name="wb_box" descr="mfcd00063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box" descr="mfcd00063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5B4B" w14:textId="77777777" w:rsidR="00D321B1" w:rsidRPr="00CC75A2" w:rsidRDefault="00D321B1" w:rsidP="00C178DB">
            <w:pPr>
              <w:keepNext/>
              <w:spacing w:after="0"/>
              <w:jc w:val="left"/>
              <w:rPr>
                <w:sz w:val="20"/>
                <w:szCs w:val="20"/>
                <w:lang w:bidi="x-none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14:paraId="3B6D1036" w14:textId="77777777" w:rsidR="00D321B1" w:rsidRPr="00CC75A2" w:rsidRDefault="00D321B1" w:rsidP="00C178DB">
            <w:pPr>
              <w:keepNext/>
              <w:spacing w:after="0"/>
              <w:jc w:val="right"/>
              <w:rPr>
                <w:lang w:bidi="x-none"/>
              </w:rPr>
            </w:pPr>
            <w:r w:rsidRPr="00CC75A2">
              <w:rPr>
                <w:sz w:val="20"/>
                <w:lang w:bidi="x-none"/>
              </w:rPr>
              <w:t>galactose</w:t>
            </w:r>
          </w:p>
        </w:tc>
        <w:tc>
          <w:tcPr>
            <w:tcW w:w="2970" w:type="dxa"/>
            <w:vAlign w:val="center"/>
          </w:tcPr>
          <w:p w14:paraId="6213A86E" w14:textId="77777777" w:rsidR="00D321B1" w:rsidRPr="00CC75A2" w:rsidRDefault="00D321B1" w:rsidP="00C178DB">
            <w:pPr>
              <w:keepNext/>
              <w:spacing w:after="0"/>
              <w:jc w:val="left"/>
              <w:rPr>
                <w:lang w:bidi="x-none"/>
              </w:rPr>
            </w:pPr>
            <w:r w:rsidRPr="00CC75A2">
              <w:rPr>
                <w:noProof/>
                <w:sz w:val="20"/>
                <w:szCs w:val="20"/>
              </w:rPr>
              <w:drawing>
                <wp:inline distT="0" distB="0" distL="0" distR="0" wp14:anchorId="666B3C3E" wp14:editId="3AF2F815">
                  <wp:extent cx="762000" cy="640080"/>
                  <wp:effectExtent l="0" t="0" r="0" b="0"/>
                  <wp:docPr id="33" name="wb_box" descr="mfcd0015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box" descr="mfcd0015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5A2">
              <w:rPr>
                <w:sz w:val="20"/>
                <w:szCs w:val="20"/>
                <w:lang w:bidi="x-none"/>
              </w:rPr>
              <w:t xml:space="preserve">        </w:t>
            </w:r>
            <w:r w:rsidRPr="00CC75A2">
              <w:rPr>
                <w:noProof/>
                <w:sz w:val="20"/>
                <w:szCs w:val="20"/>
              </w:rPr>
              <w:drawing>
                <wp:inline distT="0" distB="0" distL="0" distR="0" wp14:anchorId="16240424" wp14:editId="7EBF89A1">
                  <wp:extent cx="548640" cy="624840"/>
                  <wp:effectExtent l="0" t="0" r="10160" b="10160"/>
                  <wp:docPr id="34" name="wb_box" descr="mfcd00063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box" descr="mfcd00063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2731625F" w14:textId="77777777" w:rsidR="00D321B1" w:rsidRPr="00CC75A2" w:rsidRDefault="00D321B1" w:rsidP="00C178DB">
            <w:pPr>
              <w:keepNext/>
              <w:spacing w:after="0"/>
              <w:rPr>
                <w:lang w:bidi="x-none"/>
              </w:rPr>
            </w:pPr>
            <w:r w:rsidRPr="00CC75A2">
              <w:rPr>
                <w:sz w:val="20"/>
                <w:lang w:bidi="x-none"/>
              </w:rPr>
              <w:t>glucose</w:t>
            </w:r>
          </w:p>
        </w:tc>
      </w:tr>
      <w:tr w:rsidR="00D321B1" w:rsidRPr="00CC75A2" w14:paraId="0F6666B5" w14:textId="77777777" w:rsidTr="00C178DB">
        <w:trPr>
          <w:jc w:val="center"/>
        </w:trPr>
        <w:tc>
          <w:tcPr>
            <w:tcW w:w="0" w:type="auto"/>
            <w:vAlign w:val="center"/>
          </w:tcPr>
          <w:p w14:paraId="5191C729" w14:textId="77777777" w:rsidR="00D321B1" w:rsidRPr="00CC75A2" w:rsidRDefault="00D321B1" w:rsidP="00C178DB">
            <w:pPr>
              <w:keepNext/>
              <w:spacing w:after="0"/>
              <w:jc w:val="right"/>
              <w:rPr>
                <w:sz w:val="20"/>
                <w:lang w:bidi="x-none"/>
              </w:rPr>
            </w:pPr>
            <w:r w:rsidRPr="00CC75A2">
              <w:rPr>
                <w:sz w:val="20"/>
                <w:lang w:bidi="x-none"/>
              </w:rPr>
              <w:t>Lactose</w:t>
            </w:r>
          </w:p>
          <w:p w14:paraId="609254F9" w14:textId="77777777" w:rsidR="00D321B1" w:rsidRPr="00CC75A2" w:rsidRDefault="00D321B1" w:rsidP="00C178DB">
            <w:pPr>
              <w:keepNext/>
              <w:spacing w:after="0"/>
              <w:jc w:val="right"/>
              <w:rPr>
                <w:lang w:bidi="x-none"/>
              </w:rPr>
            </w:pPr>
            <w:r w:rsidRPr="00CC75A2">
              <w:rPr>
                <w:sz w:val="20"/>
                <w:lang w:bidi="x-none"/>
              </w:rPr>
              <w:t>(disaccharide of galactose and glucose)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D2AF91" w14:textId="77777777" w:rsidR="00D321B1" w:rsidRPr="00CC75A2" w:rsidRDefault="00D321B1" w:rsidP="00C178DB">
            <w:pPr>
              <w:keepNext/>
              <w:spacing w:after="0"/>
              <w:jc w:val="center"/>
              <w:rPr>
                <w:lang w:bidi="x-none"/>
              </w:rPr>
            </w:pPr>
            <w:r w:rsidRPr="00CC75A2">
              <w:rPr>
                <w:noProof/>
                <w:sz w:val="20"/>
                <w:szCs w:val="20"/>
              </w:rPr>
              <w:drawing>
                <wp:inline distT="0" distB="0" distL="0" distR="0" wp14:anchorId="150FDA4E" wp14:editId="1C369CB5">
                  <wp:extent cx="1036320" cy="914400"/>
                  <wp:effectExtent l="0" t="0" r="5080" b="0"/>
                  <wp:docPr id="35" name="wb_box" descr="mfcd0015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box" descr="mfcd0015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4914" w14:textId="77777777" w:rsidR="00D321B1" w:rsidRPr="00CC75A2" w:rsidRDefault="00D321B1" w:rsidP="00C178DB">
            <w:pPr>
              <w:keepNext/>
              <w:spacing w:after="0"/>
              <w:jc w:val="left"/>
              <w:rPr>
                <w:sz w:val="20"/>
                <w:szCs w:val="20"/>
                <w:lang w:bidi="x-none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14:paraId="074E8AB1" w14:textId="77777777" w:rsidR="00D321B1" w:rsidRPr="00CC75A2" w:rsidRDefault="00D321B1" w:rsidP="00C178DB">
            <w:pPr>
              <w:keepNext/>
              <w:spacing w:after="0"/>
              <w:jc w:val="right"/>
              <w:rPr>
                <w:lang w:bidi="x-none"/>
              </w:rPr>
            </w:pPr>
            <w:r w:rsidRPr="00CC75A2">
              <w:rPr>
                <w:sz w:val="20"/>
                <w:lang w:bidi="x-none"/>
              </w:rPr>
              <w:t>Maltose (disaccharide of glucose)</w:t>
            </w:r>
          </w:p>
        </w:tc>
        <w:tc>
          <w:tcPr>
            <w:tcW w:w="2970" w:type="dxa"/>
            <w:vAlign w:val="center"/>
          </w:tcPr>
          <w:p w14:paraId="6B2B56AE" w14:textId="77777777" w:rsidR="00D321B1" w:rsidRPr="00CC75A2" w:rsidRDefault="00D321B1" w:rsidP="00C178DB">
            <w:pPr>
              <w:keepNext/>
              <w:spacing w:after="0"/>
              <w:jc w:val="center"/>
              <w:rPr>
                <w:lang w:bidi="x-none"/>
              </w:rPr>
            </w:pPr>
            <w:r w:rsidRPr="00CC75A2">
              <w:rPr>
                <w:noProof/>
                <w:sz w:val="20"/>
                <w:szCs w:val="20"/>
              </w:rPr>
              <w:drawing>
                <wp:inline distT="0" distB="0" distL="0" distR="0" wp14:anchorId="76269255" wp14:editId="40C8CB21">
                  <wp:extent cx="1234440" cy="640080"/>
                  <wp:effectExtent l="0" t="0" r="10160" b="0"/>
                  <wp:docPr id="36" name="Picture 36" descr="mfcd00135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fcd00135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78A93BC1" w14:textId="77777777" w:rsidR="00D321B1" w:rsidRPr="00CC75A2" w:rsidRDefault="00D321B1" w:rsidP="00C178DB">
            <w:pPr>
              <w:keepNext/>
              <w:spacing w:after="0"/>
              <w:jc w:val="left"/>
              <w:rPr>
                <w:lang w:bidi="x-none"/>
              </w:rPr>
            </w:pPr>
          </w:p>
        </w:tc>
      </w:tr>
    </w:tbl>
    <w:p w14:paraId="2EDDCBB9" w14:textId="6306E313" w:rsidR="00D321B1" w:rsidRPr="00CC75A2" w:rsidRDefault="00B23D61" w:rsidP="004B3ADA">
      <w:pPr>
        <w:pStyle w:val="Caption"/>
        <w:ind w:left="1440" w:right="1440"/>
        <w:rPr>
          <w:b w:val="0"/>
        </w:rPr>
        <w:sectPr w:rsidR="00D321B1" w:rsidRPr="00CC75A2" w:rsidSect="00D31CA1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chicago"/>
            <w:numRestart w:val="eachPage"/>
          </w:footnotePr>
          <w:pgSz w:w="12240" w:h="15840"/>
          <w:pgMar w:top="1440" w:right="1440" w:bottom="720" w:left="1440" w:header="720" w:footer="720" w:gutter="360"/>
          <w:cols w:space="720"/>
          <w:docGrid w:linePitch="326"/>
        </w:sectPr>
      </w:pPr>
      <w:bookmarkStart w:id="12" w:name="_Ref200012751"/>
      <w:r w:rsidRPr="00CC75A2">
        <w:t>Figure 3</w:t>
      </w:r>
      <w:r w:rsidR="00D321B1" w:rsidRPr="00CC75A2">
        <w:t xml:space="preserve">.  </w:t>
      </w:r>
      <w:r w:rsidR="00D321B1" w:rsidRPr="00CC75A2">
        <w:rPr>
          <w:b w:val="0"/>
        </w:rPr>
        <w:t>Chemical structures of sugars and sugar analogs available in this lab.  All images from Sigma Aldrich Chemical Co. (sigmaaldrich.com).</w:t>
      </w:r>
      <w:bookmarkStart w:id="13" w:name="_Toc116384990"/>
      <w:bookmarkStart w:id="14" w:name="_Ref116560595"/>
      <w:bookmarkStart w:id="15" w:name="_Ref116560601"/>
      <w:bookmarkStart w:id="16" w:name="_Toc118371953"/>
      <w:bookmarkStart w:id="17" w:name="_Toc140737827"/>
      <w:bookmarkStart w:id="18" w:name="_Toc177382531"/>
      <w:bookmarkStart w:id="19" w:name="_Toc177633011"/>
      <w:bookmarkStart w:id="20" w:name="_Toc177636007"/>
      <w:bookmarkStart w:id="21" w:name="_Ref177713070"/>
      <w:bookmarkStart w:id="22" w:name="_Ref177713075"/>
      <w:bookmarkStart w:id="23" w:name="_Ref177713121"/>
      <w:bookmarkStart w:id="24" w:name="_Ref177713124"/>
      <w:bookmarkStart w:id="25" w:name="_Toc113354368"/>
      <w:bookmarkEnd w:id="12"/>
    </w:p>
    <w:p w14:paraId="4DC4D3F7" w14:textId="685502CA" w:rsidR="00D321B1" w:rsidRPr="00CC75A2" w:rsidRDefault="00AD04C5" w:rsidP="002C4D0F">
      <w:pPr>
        <w:spacing w:after="160" w:line="259" w:lineRule="auto"/>
        <w:jc w:val="left"/>
        <w:rPr>
          <w:b/>
          <w:i/>
          <w:sz w:val="32"/>
          <w:szCs w:val="32"/>
        </w:rPr>
      </w:pPr>
      <w:bookmarkStart w:id="26" w:name="_Ref208483193"/>
      <w:bookmarkStart w:id="27" w:name="_Toc298503546"/>
      <w:r w:rsidRPr="00CC75A2">
        <w:rPr>
          <w:b/>
          <w:sz w:val="32"/>
          <w:szCs w:val="32"/>
        </w:rPr>
        <w:lastRenderedPageBreak/>
        <w:t xml:space="preserve">Part </w:t>
      </w:r>
      <w:r w:rsidR="002C4D0F" w:rsidRPr="00CC75A2">
        <w:rPr>
          <w:b/>
          <w:sz w:val="32"/>
          <w:szCs w:val="32"/>
        </w:rPr>
        <w:t>1</w:t>
      </w:r>
      <w:r w:rsidRPr="00CC75A2">
        <w:rPr>
          <w:b/>
          <w:sz w:val="32"/>
          <w:szCs w:val="32"/>
        </w:rPr>
        <w:t xml:space="preserve">: </w:t>
      </w:r>
      <w:r w:rsidR="00D321B1" w:rsidRPr="00CC75A2">
        <w:rPr>
          <w:b/>
          <w:sz w:val="32"/>
          <w:szCs w:val="32"/>
        </w:rPr>
        <w:t xml:space="preserve">Qualitative analysis of </w:t>
      </w:r>
      <w:r w:rsidR="00B23D61" w:rsidRPr="00CC75A2">
        <w:rPr>
          <w:b/>
          <w:sz w:val="32"/>
          <w:szCs w:val="32"/>
        </w:rPr>
        <w:t xml:space="preserve">gene </w:t>
      </w:r>
      <w:r w:rsidR="00D321B1" w:rsidRPr="00CC75A2">
        <w:rPr>
          <w:b/>
          <w:sz w:val="32"/>
          <w:szCs w:val="32"/>
        </w:rPr>
        <w:t>regulation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bookmarkEnd w:id="27"/>
    </w:p>
    <w:p w14:paraId="2F4A1FAF" w14:textId="22E03FA3" w:rsidR="00582F04" w:rsidRPr="00CC75A2" w:rsidRDefault="00D321B1" w:rsidP="00B23D61">
      <w:pPr>
        <w:jc w:val="left"/>
      </w:pPr>
      <w:r w:rsidRPr="00CC75A2">
        <w:t xml:space="preserve">During the first </w:t>
      </w:r>
      <w:r w:rsidR="00B17C5F" w:rsidRPr="00CC75A2">
        <w:t xml:space="preserve">part of this lab, </w:t>
      </w:r>
      <w:r w:rsidRPr="00CC75A2">
        <w:t xml:space="preserve">we will </w:t>
      </w:r>
      <w:r w:rsidR="00B17C5F" w:rsidRPr="00CC75A2">
        <w:t xml:space="preserve">observe and then </w:t>
      </w:r>
      <w:r w:rsidRPr="00CC75A2">
        <w:t xml:space="preserve">measure the fluorescence from GFP produced in </w:t>
      </w:r>
      <w:r w:rsidRPr="00CC75A2">
        <w:rPr>
          <w:i/>
        </w:rPr>
        <w:t>E. coli</w:t>
      </w:r>
      <w:r w:rsidRPr="00CC75A2">
        <w:t xml:space="preserve"> under control of the </w:t>
      </w:r>
      <w:r w:rsidRPr="00CC75A2">
        <w:rPr>
          <w:i/>
        </w:rPr>
        <w:t>lac</w:t>
      </w:r>
      <w:r w:rsidRPr="00CC75A2">
        <w:t xml:space="preserve"> operator</w:t>
      </w:r>
      <w:r w:rsidR="00B17C5F" w:rsidRPr="00CC75A2">
        <w:t xml:space="preserve"> under different growth media conditions with different sugars added (see Materials for Part I below)</w:t>
      </w:r>
      <w:r w:rsidRPr="00CC75A2">
        <w:t xml:space="preserve">.  You seek ‘yes/no’ answers to the following questions: </w:t>
      </w:r>
    </w:p>
    <w:p w14:paraId="22A6E826" w14:textId="587B8AD9" w:rsidR="00582F04" w:rsidRPr="00CC75A2" w:rsidRDefault="00D321B1" w:rsidP="00582F04">
      <w:pPr>
        <w:pStyle w:val="ListParagraph"/>
        <w:numPr>
          <w:ilvl w:val="0"/>
          <w:numId w:val="13"/>
        </w:numPr>
      </w:pPr>
      <w:r w:rsidRPr="00CC75A2">
        <w:t xml:space="preserve">Which molecules induce expression, which do not?  </w:t>
      </w:r>
    </w:p>
    <w:p w14:paraId="7C677FF5" w14:textId="5BB06A0F" w:rsidR="00582F04" w:rsidRPr="00CC75A2" w:rsidRDefault="00D321B1" w:rsidP="00582F04">
      <w:pPr>
        <w:pStyle w:val="ListParagraph"/>
        <w:numPr>
          <w:ilvl w:val="0"/>
          <w:numId w:val="13"/>
        </w:numPr>
      </w:pPr>
      <w:r w:rsidRPr="00CC75A2">
        <w:t xml:space="preserve">How closely related are the structures of these molecules?  </w:t>
      </w:r>
    </w:p>
    <w:p w14:paraId="13049475" w14:textId="00AA4511" w:rsidR="00D321B1" w:rsidRPr="00CC75A2" w:rsidRDefault="00D321B1" w:rsidP="00582F04">
      <w:pPr>
        <w:pStyle w:val="ListParagraph"/>
        <w:numPr>
          <w:ilvl w:val="0"/>
          <w:numId w:val="13"/>
        </w:numPr>
      </w:pPr>
      <w:r w:rsidRPr="00CC75A2">
        <w:t>Do any of the sugars actively inhibit the action of the inducer?</w:t>
      </w:r>
    </w:p>
    <w:p w14:paraId="31C00B4C" w14:textId="0A782861" w:rsidR="00D321B1" w:rsidRPr="00CC75A2" w:rsidRDefault="00D321B1" w:rsidP="00B23D61">
      <w:pPr>
        <w:jc w:val="left"/>
      </w:pPr>
      <w:r w:rsidRPr="00CC75A2">
        <w:rPr>
          <w:i/>
        </w:rPr>
        <w:t>To answer these questions</w:t>
      </w:r>
      <w:r w:rsidR="00B17C5F" w:rsidRPr="00CC75A2">
        <w:rPr>
          <w:i/>
        </w:rPr>
        <w:t>,</w:t>
      </w:r>
      <w:r w:rsidRPr="00CC75A2">
        <w:rPr>
          <w:i/>
        </w:rPr>
        <w:t xml:space="preserve"> you and your partner will select from cultures of E.</w:t>
      </w:r>
      <w:r w:rsidR="00DC3DEB" w:rsidRPr="00CC75A2">
        <w:rPr>
          <w:i/>
        </w:rPr>
        <w:t xml:space="preserve"> </w:t>
      </w:r>
      <w:r w:rsidRPr="00CC75A2">
        <w:rPr>
          <w:i/>
        </w:rPr>
        <w:t>coli grown with a variety of sugar or sugar-analogues the ones that you hope will address these questions.  The chemical structures of these sugars are illustrated in</w:t>
      </w:r>
      <w:r w:rsidR="00DC3DEB" w:rsidRPr="00CC75A2">
        <w:rPr>
          <w:i/>
        </w:rPr>
        <w:t xml:space="preserve"> Figure 3</w:t>
      </w:r>
      <w:r w:rsidRPr="00CC75A2">
        <w:rPr>
          <w:i/>
        </w:rPr>
        <w:t>.</w:t>
      </w:r>
    </w:p>
    <w:p w14:paraId="2F7E1E54" w14:textId="3B8269EF" w:rsidR="00D321B1" w:rsidRPr="00CC75A2" w:rsidRDefault="00D321B1" w:rsidP="00B23D61">
      <w:pPr>
        <w:pStyle w:val="Heading3"/>
        <w:jc w:val="left"/>
        <w:rPr>
          <w:rFonts w:ascii="Times New Roman" w:hAnsi="Times New Roman"/>
        </w:rPr>
      </w:pPr>
      <w:bookmarkStart w:id="28" w:name="_Toc177382532"/>
      <w:bookmarkStart w:id="29" w:name="_Toc177634088"/>
      <w:bookmarkStart w:id="30" w:name="_Toc177636008"/>
      <w:r w:rsidRPr="00CC75A2">
        <w:rPr>
          <w:rFonts w:ascii="Times New Roman" w:hAnsi="Times New Roman"/>
        </w:rPr>
        <w:t>Material</w:t>
      </w:r>
      <w:bookmarkEnd w:id="25"/>
      <w:bookmarkEnd w:id="28"/>
      <w:bookmarkEnd w:id="29"/>
      <w:bookmarkEnd w:id="30"/>
      <w:r w:rsidR="00B17C5F" w:rsidRPr="00CC75A2">
        <w:rPr>
          <w:rFonts w:ascii="Times New Roman" w:hAnsi="Times New Roman"/>
        </w:rPr>
        <w:t>s for Part I</w:t>
      </w:r>
    </w:p>
    <w:p w14:paraId="145E4D71" w14:textId="77777777" w:rsidR="00D321B1" w:rsidRPr="00CC75A2" w:rsidRDefault="00D321B1" w:rsidP="00B23D61">
      <w:pPr>
        <w:pStyle w:val="numberedlist"/>
        <w:numPr>
          <w:ilvl w:val="0"/>
          <w:numId w:val="2"/>
        </w:numPr>
        <w:jc w:val="left"/>
      </w:pPr>
      <w:r w:rsidRPr="00CC75A2">
        <w:t xml:space="preserve">Actively growing cultures of bacteria harboring the </w:t>
      </w:r>
      <w:proofErr w:type="spellStart"/>
      <w:r w:rsidRPr="00CC75A2">
        <w:rPr>
          <w:i/>
        </w:rPr>
        <w:t>gfp</w:t>
      </w:r>
      <w:proofErr w:type="spellEnd"/>
      <w:r w:rsidRPr="00CC75A2">
        <w:t xml:space="preserve"> gene under the control of the </w:t>
      </w:r>
      <w:r w:rsidRPr="00CC75A2">
        <w:rPr>
          <w:i/>
        </w:rPr>
        <w:t>lac</w:t>
      </w:r>
      <w:r w:rsidRPr="00CC75A2">
        <w:t xml:space="preserve"> operator and the </w:t>
      </w:r>
      <w:r w:rsidRPr="00CC75A2">
        <w:rPr>
          <w:i/>
        </w:rPr>
        <w:t>lac</w:t>
      </w:r>
      <w:r w:rsidRPr="00CC75A2">
        <w:t xml:space="preserve"> repressor protein, grown in LB with</w:t>
      </w:r>
      <w:r w:rsidR="00C178DB" w:rsidRPr="00CC75A2">
        <w:t xml:space="preserve"> (BTW, note the concentrations)</w:t>
      </w:r>
      <w:r w:rsidRPr="00CC75A2">
        <w:t>:</w:t>
      </w:r>
    </w:p>
    <w:p w14:paraId="00CDA220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 xml:space="preserve">No additives </w:t>
      </w:r>
    </w:p>
    <w:p w14:paraId="6BD15055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 xml:space="preserve">Lactose (0.25 M)   </w:t>
      </w:r>
    </w:p>
    <w:p w14:paraId="5803BB40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IPTG (0.1 mM)</w:t>
      </w:r>
    </w:p>
    <w:p w14:paraId="22335AB2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Glucose (0.25 M)</w:t>
      </w:r>
    </w:p>
    <w:p w14:paraId="272B2D57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Galactose (0.25 M)</w:t>
      </w:r>
    </w:p>
    <w:p w14:paraId="3E7731CE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Maltose (0.25)</w:t>
      </w:r>
    </w:p>
    <w:p w14:paraId="7DBE8572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IPTG (0.1 mM) + glucose (0.25 M)</w:t>
      </w:r>
    </w:p>
    <w:p w14:paraId="11126FE9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IPTG (0.1 mM) + maltose (0.125 M)</w:t>
      </w:r>
    </w:p>
    <w:p w14:paraId="0B5BFD1D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Lactose (0.25 M) + glucose (0.25 M)</w:t>
      </w:r>
    </w:p>
    <w:p w14:paraId="6309EF3D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Lactose (0.25 M</w:t>
      </w:r>
      <w:proofErr w:type="gramStart"/>
      <w:r w:rsidRPr="00CC75A2">
        <w:t>)  +</w:t>
      </w:r>
      <w:proofErr w:type="gramEnd"/>
      <w:r w:rsidRPr="00CC75A2">
        <w:t xml:space="preserve"> maltose (0.125 M)</w:t>
      </w:r>
    </w:p>
    <w:p w14:paraId="0F2BEFB9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Galactose (0.25 M) + glucose (0.25 M)</w:t>
      </w:r>
    </w:p>
    <w:p w14:paraId="239849A6" w14:textId="77777777" w:rsidR="00D321B1" w:rsidRPr="00CC75A2" w:rsidRDefault="00D321B1" w:rsidP="00B23D61">
      <w:pPr>
        <w:pStyle w:val="numberedlist"/>
        <w:numPr>
          <w:ilvl w:val="1"/>
          <w:numId w:val="2"/>
        </w:numPr>
        <w:jc w:val="left"/>
      </w:pPr>
      <w:r w:rsidRPr="00CC75A2">
        <w:t>Galactose (0.25 M</w:t>
      </w:r>
      <w:proofErr w:type="gramStart"/>
      <w:r w:rsidRPr="00CC75A2">
        <w:t>)  +</w:t>
      </w:r>
      <w:proofErr w:type="gramEnd"/>
      <w:r w:rsidRPr="00CC75A2">
        <w:t xml:space="preserve"> maltose (0.125 M)</w:t>
      </w:r>
    </w:p>
    <w:p w14:paraId="244E3D0C" w14:textId="77777777" w:rsidR="00D321B1" w:rsidRPr="00CC75A2" w:rsidRDefault="00D321B1" w:rsidP="00B23D61">
      <w:pPr>
        <w:pStyle w:val="numberedlist"/>
        <w:numPr>
          <w:ilvl w:val="0"/>
          <w:numId w:val="2"/>
        </w:numPr>
        <w:jc w:val="left"/>
      </w:pPr>
      <w:r w:rsidRPr="00CC75A2">
        <w:t>A handheld blue light and a suitable filter to observe GFP fluorescence.</w:t>
      </w:r>
    </w:p>
    <w:p w14:paraId="6888C3BB" w14:textId="77777777" w:rsidR="00D321B1" w:rsidRPr="00CC75A2" w:rsidRDefault="00D321B1" w:rsidP="00B23D61">
      <w:pPr>
        <w:pStyle w:val="Heading3"/>
        <w:jc w:val="left"/>
        <w:rPr>
          <w:rFonts w:ascii="Times New Roman" w:hAnsi="Times New Roman"/>
        </w:rPr>
      </w:pPr>
      <w:bookmarkStart w:id="31" w:name="_Toc113354369"/>
      <w:bookmarkStart w:id="32" w:name="_Toc177382533"/>
      <w:bookmarkStart w:id="33" w:name="_Toc177634089"/>
      <w:bookmarkStart w:id="34" w:name="_Toc177636009"/>
      <w:r w:rsidRPr="00CC75A2">
        <w:rPr>
          <w:rFonts w:ascii="Times New Roman" w:hAnsi="Times New Roman"/>
        </w:rPr>
        <w:t>Methods</w:t>
      </w:r>
      <w:bookmarkEnd w:id="31"/>
      <w:bookmarkEnd w:id="32"/>
      <w:bookmarkEnd w:id="33"/>
      <w:bookmarkEnd w:id="34"/>
    </w:p>
    <w:p w14:paraId="75263092" w14:textId="187715D3" w:rsidR="00D321B1" w:rsidRPr="00CC75A2" w:rsidRDefault="00D321B1" w:rsidP="00B23D61">
      <w:pPr>
        <w:pStyle w:val="numberedlist"/>
        <w:numPr>
          <w:ilvl w:val="0"/>
          <w:numId w:val="2"/>
        </w:numPr>
        <w:jc w:val="left"/>
      </w:pPr>
      <w:r w:rsidRPr="00CC75A2">
        <w:t xml:space="preserve">Check for the induction of GFP expression using the special blue flashlight (holding it as far away as necessary to see the green fluorescence) and the filter (or goggles).  </w:t>
      </w:r>
    </w:p>
    <w:p w14:paraId="2B8D0B08" w14:textId="0247633C" w:rsidR="00646301" w:rsidRPr="00CC75A2" w:rsidRDefault="00B17C5F" w:rsidP="00B23D61">
      <w:pPr>
        <w:pStyle w:val="numberedlist"/>
        <w:numPr>
          <w:ilvl w:val="0"/>
          <w:numId w:val="2"/>
        </w:numPr>
        <w:jc w:val="left"/>
      </w:pPr>
      <w:r w:rsidRPr="00CC75A2">
        <w:t>What do you observe?  What do you think is happening based on the sugars added to the growth media?</w:t>
      </w:r>
    </w:p>
    <w:p w14:paraId="552244E1" w14:textId="77777777" w:rsidR="00D321B1" w:rsidRPr="00CC75A2" w:rsidRDefault="00DC3DEB" w:rsidP="00B23D61">
      <w:pPr>
        <w:pStyle w:val="numberedlist"/>
        <w:numPr>
          <w:ilvl w:val="0"/>
          <w:numId w:val="2"/>
        </w:numPr>
        <w:jc w:val="left"/>
      </w:pPr>
      <w:r w:rsidRPr="00CC75A2">
        <w:t>Record your observations in your notebook</w:t>
      </w:r>
    </w:p>
    <w:p w14:paraId="4965AF62" w14:textId="77777777" w:rsidR="00F160BA" w:rsidRDefault="00F160BA" w:rsidP="003443D0">
      <w:pPr>
        <w:pStyle w:val="numberedlist"/>
        <w:numPr>
          <w:ilvl w:val="0"/>
          <w:numId w:val="0"/>
        </w:numPr>
        <w:jc w:val="left"/>
        <w:rPr>
          <w:b/>
          <w:sz w:val="32"/>
        </w:rPr>
      </w:pPr>
    </w:p>
    <w:p w14:paraId="71C8D952" w14:textId="417F3D76" w:rsidR="003443D0" w:rsidRPr="00CC75A2" w:rsidRDefault="00AD04C5" w:rsidP="003443D0">
      <w:pPr>
        <w:pStyle w:val="numberedlist"/>
        <w:numPr>
          <w:ilvl w:val="0"/>
          <w:numId w:val="0"/>
        </w:numPr>
        <w:jc w:val="left"/>
        <w:rPr>
          <w:b/>
          <w:sz w:val="32"/>
        </w:rPr>
      </w:pPr>
      <w:r w:rsidRPr="00CC75A2">
        <w:rPr>
          <w:b/>
          <w:sz w:val="32"/>
        </w:rPr>
        <w:lastRenderedPageBreak/>
        <w:t>Part 2:</w:t>
      </w:r>
      <w:r w:rsidR="002C4D0F" w:rsidRPr="00CC75A2">
        <w:rPr>
          <w:b/>
          <w:sz w:val="32"/>
        </w:rPr>
        <w:t xml:space="preserve"> </w:t>
      </w:r>
      <w:r w:rsidR="003443D0" w:rsidRPr="00CC75A2">
        <w:rPr>
          <w:b/>
          <w:sz w:val="32"/>
        </w:rPr>
        <w:t>Check your observations quantitatively</w:t>
      </w:r>
    </w:p>
    <w:p w14:paraId="14AA2F5C" w14:textId="5ADC9A52" w:rsidR="001F2B31" w:rsidRPr="00CC75A2" w:rsidRDefault="001F2B31" w:rsidP="003443D0">
      <w:pPr>
        <w:pStyle w:val="numberedlist"/>
        <w:numPr>
          <w:ilvl w:val="0"/>
          <w:numId w:val="0"/>
        </w:numPr>
        <w:jc w:val="left"/>
      </w:pPr>
      <w:r w:rsidRPr="00CC75A2">
        <w:t>You are now going to determine if your qualitative observations match with quantitative ones. To do this, you will use the plate reader to take OD</w:t>
      </w:r>
      <w:r w:rsidRPr="00CC75A2">
        <w:rPr>
          <w:vertAlign w:val="subscript"/>
        </w:rPr>
        <w:t>595</w:t>
      </w:r>
      <w:r w:rsidRPr="00CC75A2">
        <w:t xml:space="preserve"> and Fl</w:t>
      </w:r>
      <w:r w:rsidRPr="00CC75A2">
        <w:rPr>
          <w:vertAlign w:val="subscript"/>
        </w:rPr>
        <w:t>488</w:t>
      </w:r>
      <w:r w:rsidRPr="00CC75A2">
        <w:t xml:space="preserve"> measurements of your cultures. We have one 96-well plate</w:t>
      </w:r>
      <w:r w:rsidR="002C4D0F" w:rsidRPr="00CC75A2">
        <w:t>,</w:t>
      </w:r>
      <w:r w:rsidRPr="00CC75A2">
        <w:t xml:space="preserve"> so you will need to share. One </w:t>
      </w:r>
      <w:r w:rsidR="002C4D0F" w:rsidRPr="00CC75A2">
        <w:t xml:space="preserve">person from </w:t>
      </w:r>
      <w:r w:rsidR="003B340F" w:rsidRPr="00CC75A2">
        <w:t>one</w:t>
      </w:r>
      <w:r w:rsidR="002C4D0F" w:rsidRPr="00CC75A2">
        <w:t xml:space="preserve"> table</w:t>
      </w:r>
      <w:r w:rsidRPr="00CC75A2">
        <w:t xml:space="preserve"> will get wells A1-A12, a</w:t>
      </w:r>
      <w:r w:rsidR="002C4D0F" w:rsidRPr="00CC75A2">
        <w:t xml:space="preserve">nother person from another table </w:t>
      </w:r>
      <w:r w:rsidRPr="00CC75A2">
        <w:t>B1-B12</w:t>
      </w:r>
      <w:r w:rsidR="002C4D0F" w:rsidRPr="00CC75A2">
        <w:t>, etc</w:t>
      </w:r>
      <w:r w:rsidRPr="00CC75A2">
        <w:t>.</w:t>
      </w:r>
      <w:r w:rsidR="002C4D0F" w:rsidRPr="00CC75A2">
        <w:t xml:space="preserve">  </w:t>
      </w:r>
      <w:r w:rsidR="003D7352" w:rsidRPr="00CC75A2">
        <w:t xml:space="preserve">Rows A through F </w:t>
      </w:r>
      <w:r w:rsidR="002C4D0F" w:rsidRPr="00CC75A2">
        <w:t xml:space="preserve">should be filled by </w:t>
      </w:r>
      <w:r w:rsidR="00B17C5F" w:rsidRPr="00CC75A2">
        <w:t>one</w:t>
      </w:r>
      <w:r w:rsidR="002C4D0F" w:rsidRPr="00CC75A2">
        <w:t xml:space="preserve"> person from each of the 6 tables and so you will have this data in 6 replicates. </w:t>
      </w:r>
      <w:r w:rsidRPr="00CC75A2">
        <w:t xml:space="preserve"> Use row </w:t>
      </w:r>
      <w:r w:rsidR="002C4D0F" w:rsidRPr="00CC75A2">
        <w:t>G</w:t>
      </w:r>
      <w:r w:rsidRPr="00CC75A2">
        <w:t xml:space="preserve"> to load four LB blanks.</w:t>
      </w:r>
    </w:p>
    <w:p w14:paraId="37682751" w14:textId="1FD6F60E" w:rsidR="003443D0" w:rsidRPr="00CC75A2" w:rsidRDefault="003443D0" w:rsidP="001F2B31">
      <w:pPr>
        <w:pStyle w:val="numberedlist"/>
        <w:numPr>
          <w:ilvl w:val="0"/>
          <w:numId w:val="12"/>
        </w:numPr>
        <w:jc w:val="left"/>
      </w:pPr>
      <w:r w:rsidRPr="00CC75A2">
        <w:t xml:space="preserve">Load 250 </w:t>
      </w:r>
      <w:proofErr w:type="spellStart"/>
      <w:r w:rsidRPr="00CC75A2">
        <w:t>uL</w:t>
      </w:r>
      <w:proofErr w:type="spellEnd"/>
      <w:r w:rsidRPr="00CC75A2">
        <w:t xml:space="preserve"> of each of your samples into the provided 96</w:t>
      </w:r>
      <w:r w:rsidR="001F2B31" w:rsidRPr="00CC75A2">
        <w:t xml:space="preserve"> well plates.</w:t>
      </w:r>
    </w:p>
    <w:p w14:paraId="6317FE09" w14:textId="7CDFD961" w:rsidR="001F2B31" w:rsidRPr="00CC75A2" w:rsidRDefault="001F2B31" w:rsidP="001F2B31">
      <w:pPr>
        <w:pStyle w:val="numberedlist"/>
        <w:numPr>
          <w:ilvl w:val="0"/>
          <w:numId w:val="12"/>
        </w:numPr>
        <w:jc w:val="left"/>
      </w:pPr>
      <w:r w:rsidRPr="00CC75A2">
        <w:t xml:space="preserve">Run two programs: </w:t>
      </w:r>
      <w:proofErr w:type="spellStart"/>
      <w:r w:rsidRPr="00CC75A2">
        <w:t>Bug_OD</w:t>
      </w:r>
      <w:proofErr w:type="spellEnd"/>
      <w:r w:rsidRPr="00CC75A2">
        <w:t xml:space="preserve"> and </w:t>
      </w:r>
      <w:proofErr w:type="spellStart"/>
      <w:r w:rsidRPr="00CC75A2">
        <w:t>Bug_Fluor</w:t>
      </w:r>
      <w:proofErr w:type="spellEnd"/>
    </w:p>
    <w:p w14:paraId="32A35A3F" w14:textId="4F495979" w:rsidR="00A45245" w:rsidRPr="00CC75A2" w:rsidRDefault="00A45245" w:rsidP="00A45245">
      <w:pPr>
        <w:pStyle w:val="numberedlist"/>
        <w:numPr>
          <w:ilvl w:val="1"/>
          <w:numId w:val="12"/>
        </w:numPr>
        <w:jc w:val="left"/>
      </w:pPr>
      <w:r w:rsidRPr="00CC75A2">
        <w:t>If any value is 65000 for the fluorescence, see your instructor to correct the gain and re-run the samples.</w:t>
      </w:r>
    </w:p>
    <w:p w14:paraId="7C013D34" w14:textId="3C655F48" w:rsidR="001F2B31" w:rsidRPr="00CC75A2" w:rsidRDefault="002C4D0F" w:rsidP="001F2B31">
      <w:pPr>
        <w:pStyle w:val="numberedlist"/>
        <w:numPr>
          <w:ilvl w:val="0"/>
          <w:numId w:val="12"/>
        </w:numPr>
        <w:jc w:val="left"/>
      </w:pPr>
      <w:r w:rsidRPr="00CC75A2">
        <w:t>The data should be sent to Laura by email, who will then post it to Moodle for each group to analyze</w:t>
      </w:r>
    </w:p>
    <w:p w14:paraId="18051AA3" w14:textId="0362CB40" w:rsidR="002C4D0F" w:rsidRPr="00CC75A2" w:rsidRDefault="003D7352" w:rsidP="002C4D0F">
      <w:pPr>
        <w:pStyle w:val="numberedlist"/>
        <w:numPr>
          <w:ilvl w:val="1"/>
          <w:numId w:val="12"/>
        </w:numPr>
        <w:jc w:val="left"/>
      </w:pPr>
      <w:r w:rsidRPr="00CC75A2">
        <w:t>You have 6 replicates for this data.  What do you think you should do with it?</w:t>
      </w:r>
    </w:p>
    <w:p w14:paraId="022FC5D7" w14:textId="0E0A0941" w:rsidR="001F2B31" w:rsidRPr="00CC75A2" w:rsidRDefault="001F2B31" w:rsidP="001F2B31">
      <w:pPr>
        <w:pStyle w:val="numberedlist"/>
        <w:numPr>
          <w:ilvl w:val="0"/>
          <w:numId w:val="12"/>
        </w:numPr>
        <w:jc w:val="left"/>
      </w:pPr>
      <w:r w:rsidRPr="00CC75A2">
        <w:t>Do your qualitative and quantitative observations agree?</w:t>
      </w:r>
    </w:p>
    <w:p w14:paraId="3211C4C7" w14:textId="379ED708" w:rsidR="001F2B31" w:rsidRPr="00CC75A2" w:rsidRDefault="001F2B31" w:rsidP="001F2B31">
      <w:pPr>
        <w:pStyle w:val="numberedlist"/>
        <w:numPr>
          <w:ilvl w:val="0"/>
          <w:numId w:val="12"/>
        </w:numPr>
        <w:jc w:val="left"/>
      </w:pPr>
      <w:r w:rsidRPr="00CC75A2">
        <w:t>Why does the OD</w:t>
      </w:r>
      <w:r w:rsidRPr="00CC75A2">
        <w:rPr>
          <w:vertAlign w:val="subscript"/>
        </w:rPr>
        <w:t>595</w:t>
      </w:r>
      <w:r w:rsidRPr="00CC75A2">
        <w:t xml:space="preserve"> matter?</w:t>
      </w:r>
    </w:p>
    <w:p w14:paraId="6EA2C629" w14:textId="76180DF6" w:rsidR="003443D0" w:rsidRPr="00CC75A2" w:rsidRDefault="00092A2D" w:rsidP="00646301">
      <w:pPr>
        <w:pStyle w:val="numberedlist"/>
        <w:numPr>
          <w:ilvl w:val="0"/>
          <w:numId w:val="12"/>
        </w:numPr>
        <w:jc w:val="left"/>
      </w:pPr>
      <w:r w:rsidRPr="00CC75A2">
        <w:t>Do you need a blank for fluorescence?</w:t>
      </w:r>
    </w:p>
    <w:p w14:paraId="1EB93EB0" w14:textId="2EC79FFF" w:rsidR="00D321B1" w:rsidRPr="00CC75A2" w:rsidRDefault="00DC3DEB" w:rsidP="00B23D61">
      <w:pPr>
        <w:pStyle w:val="numberedlist"/>
        <w:numPr>
          <w:ilvl w:val="0"/>
          <w:numId w:val="2"/>
        </w:numPr>
        <w:jc w:val="left"/>
        <w:rPr>
          <w:b/>
          <w:bCs/>
        </w:rPr>
      </w:pPr>
      <w:r w:rsidRPr="00CC75A2">
        <w:rPr>
          <w:b/>
          <w:bCs/>
        </w:rPr>
        <w:t xml:space="preserve">Share your question and observations with your table. </w:t>
      </w:r>
      <w:r w:rsidR="006E1E5B">
        <w:rPr>
          <w:b/>
          <w:bCs/>
        </w:rPr>
        <w:t xml:space="preserve"> Formulate some ideas and hypotheses.</w:t>
      </w:r>
    </w:p>
    <w:p w14:paraId="0DA951E6" w14:textId="48C0817D" w:rsidR="00646301" w:rsidRPr="00CC75A2" w:rsidRDefault="00646301" w:rsidP="00646301">
      <w:pPr>
        <w:pStyle w:val="numberedlist"/>
        <w:numPr>
          <w:ilvl w:val="0"/>
          <w:numId w:val="0"/>
        </w:numPr>
        <w:ind w:left="360"/>
        <w:jc w:val="left"/>
        <w:rPr>
          <w:b/>
          <w:bCs/>
        </w:rPr>
      </w:pPr>
    </w:p>
    <w:p w14:paraId="43A69C56" w14:textId="0D6C3CAC" w:rsidR="00D321B1" w:rsidRPr="00CC75A2" w:rsidRDefault="00AD04C5" w:rsidP="00B23D61">
      <w:pPr>
        <w:pStyle w:val="Heading3"/>
        <w:jc w:val="left"/>
        <w:rPr>
          <w:rFonts w:ascii="Times New Roman" w:hAnsi="Times New Roman"/>
          <w:sz w:val="32"/>
          <w:szCs w:val="32"/>
        </w:rPr>
      </w:pPr>
      <w:bookmarkStart w:id="35" w:name="_Toc177382534"/>
      <w:bookmarkStart w:id="36" w:name="_Toc177634090"/>
      <w:bookmarkStart w:id="37" w:name="_Toc177636010"/>
      <w:r w:rsidRPr="00CC75A2">
        <w:rPr>
          <w:rFonts w:ascii="Times New Roman" w:hAnsi="Times New Roman"/>
          <w:sz w:val="32"/>
          <w:szCs w:val="32"/>
        </w:rPr>
        <w:t xml:space="preserve">Part 3: </w:t>
      </w:r>
      <w:r w:rsidR="00505391">
        <w:rPr>
          <w:rFonts w:ascii="Times New Roman" w:hAnsi="Times New Roman"/>
          <w:sz w:val="32"/>
          <w:szCs w:val="32"/>
        </w:rPr>
        <w:t>Check your plan for</w:t>
      </w:r>
      <w:r w:rsidR="00D321B1" w:rsidRPr="00CC75A2">
        <w:rPr>
          <w:rFonts w:ascii="Times New Roman" w:hAnsi="Times New Roman"/>
          <w:sz w:val="32"/>
          <w:szCs w:val="32"/>
        </w:rPr>
        <w:t xml:space="preserve"> </w:t>
      </w:r>
      <w:r w:rsidR="00CC02B0" w:rsidRPr="00CC75A2">
        <w:rPr>
          <w:rFonts w:ascii="Times New Roman" w:hAnsi="Times New Roman"/>
          <w:sz w:val="32"/>
          <w:szCs w:val="32"/>
        </w:rPr>
        <w:t>your</w:t>
      </w:r>
      <w:r w:rsidR="00D321B1" w:rsidRPr="00CC75A2">
        <w:rPr>
          <w:rFonts w:ascii="Times New Roman" w:hAnsi="Times New Roman"/>
          <w:sz w:val="32"/>
          <w:szCs w:val="32"/>
        </w:rPr>
        <w:t xml:space="preserve"> quantitative experiment</w:t>
      </w:r>
      <w:bookmarkEnd w:id="35"/>
      <w:bookmarkEnd w:id="36"/>
      <w:bookmarkEnd w:id="37"/>
    </w:p>
    <w:p w14:paraId="63BFBE37" w14:textId="086DEB70" w:rsidR="00DF4C9F" w:rsidRPr="00CC75A2" w:rsidRDefault="00DF4C9F" w:rsidP="00DF4C9F">
      <w:pPr>
        <w:pStyle w:val="ListParagraph"/>
        <w:keepNext/>
        <w:numPr>
          <w:ilvl w:val="0"/>
          <w:numId w:val="14"/>
        </w:numPr>
      </w:pPr>
      <w:r w:rsidRPr="00CC75A2">
        <w:t xml:space="preserve">In your notebook you should </w:t>
      </w:r>
      <w:r w:rsidR="00505391">
        <w:t xml:space="preserve">have </w:t>
      </w:r>
      <w:r w:rsidRPr="00CC75A2">
        <w:t>formulate</w:t>
      </w:r>
      <w:r w:rsidR="00505391">
        <w:t>d</w:t>
      </w:r>
      <w:r w:rsidRPr="00CC75A2">
        <w:t xml:space="preserve"> your question and the predictions.</w:t>
      </w:r>
      <w:r w:rsidR="00505391">
        <w:t xml:space="preserve">  Now check to make sure you’re happy with your questions and predictions and calculations.</w:t>
      </w:r>
    </w:p>
    <w:p w14:paraId="79562CA8" w14:textId="77777777" w:rsidR="00CC75A2" w:rsidRPr="00CC75A2" w:rsidRDefault="00CC75A2" w:rsidP="00CC75A2">
      <w:pPr>
        <w:pStyle w:val="Heading4"/>
        <w:rPr>
          <w:rFonts w:ascii="Times New Roman" w:hAnsi="Times New Roman" w:cs="Times New Roman"/>
        </w:rPr>
      </w:pPr>
    </w:p>
    <w:p w14:paraId="43891A39" w14:textId="6CB5C8E5" w:rsidR="00CC75A2" w:rsidRPr="00CC75A2" w:rsidRDefault="00CC75A2" w:rsidP="00CC75A2">
      <w:pPr>
        <w:pStyle w:val="Heading4"/>
        <w:rPr>
          <w:rFonts w:ascii="Times New Roman" w:hAnsi="Times New Roman" w:cs="Times New Roman"/>
        </w:rPr>
      </w:pPr>
      <w:r w:rsidRPr="00CC75A2">
        <w:rPr>
          <w:rFonts w:ascii="Times New Roman" w:hAnsi="Times New Roman" w:cs="Times New Roman"/>
        </w:rPr>
        <w:t>Solutions supplied to you for your experiment:</w:t>
      </w:r>
    </w:p>
    <w:p w14:paraId="7DBFD4AB" w14:textId="77777777" w:rsidR="00CC75A2" w:rsidRPr="00CC75A2" w:rsidRDefault="00CC75A2" w:rsidP="00CC75A2">
      <w:pPr>
        <w:pStyle w:val="numberedlist"/>
        <w:numPr>
          <w:ilvl w:val="0"/>
          <w:numId w:val="4"/>
        </w:numPr>
      </w:pPr>
      <w:r w:rsidRPr="00CC75A2">
        <w:t>0.5 M sugar solutions (lactose, maltose, galactose, glucose dissolved in LB)</w:t>
      </w:r>
    </w:p>
    <w:p w14:paraId="434EADC4" w14:textId="77777777" w:rsidR="00CC75A2" w:rsidRPr="00CC75A2" w:rsidRDefault="00CC75A2" w:rsidP="00CC75A2">
      <w:pPr>
        <w:pStyle w:val="numberedlist"/>
        <w:numPr>
          <w:ilvl w:val="0"/>
          <w:numId w:val="4"/>
        </w:numPr>
      </w:pPr>
      <w:r w:rsidRPr="00CC75A2">
        <w:t xml:space="preserve">0.2 </w:t>
      </w:r>
      <w:proofErr w:type="spellStart"/>
      <w:r w:rsidRPr="00CC75A2">
        <w:t>mM</w:t>
      </w:r>
      <w:proofErr w:type="spellEnd"/>
      <w:r w:rsidRPr="00CC75A2">
        <w:t xml:space="preserve"> IPTG solution (in LB)</w:t>
      </w:r>
    </w:p>
    <w:p w14:paraId="3C6D059B" w14:textId="77777777" w:rsidR="00CC75A2" w:rsidRPr="00CC75A2" w:rsidRDefault="00CC75A2" w:rsidP="00CC75A2">
      <w:pPr>
        <w:pStyle w:val="numberedlist"/>
        <w:numPr>
          <w:ilvl w:val="0"/>
          <w:numId w:val="4"/>
        </w:numPr>
      </w:pPr>
      <w:r w:rsidRPr="00CC75A2">
        <w:t>medium (LB) to make dilutions</w:t>
      </w:r>
      <w:bookmarkStart w:id="38" w:name="_GoBack"/>
      <w:bookmarkEnd w:id="38"/>
    </w:p>
    <w:p w14:paraId="68634634" w14:textId="77777777" w:rsidR="00CC75A2" w:rsidRPr="00CC75A2" w:rsidRDefault="00CC75A2" w:rsidP="00CC75A2">
      <w:pPr>
        <w:pStyle w:val="ListParagraph"/>
        <w:keepNext/>
      </w:pPr>
    </w:p>
    <w:p w14:paraId="337CF4A8" w14:textId="77777777" w:rsidR="00B17C5F" w:rsidRPr="00CC75A2" w:rsidRDefault="00B17C5F" w:rsidP="00B17C5F">
      <w:pPr>
        <w:pStyle w:val="Heading1"/>
        <w:rPr>
          <w:sz w:val="32"/>
          <w:szCs w:val="32"/>
        </w:rPr>
      </w:pPr>
      <w:bookmarkStart w:id="39" w:name="_Toc177382537"/>
      <w:bookmarkStart w:id="40" w:name="_Toc177634093"/>
      <w:bookmarkStart w:id="41" w:name="_Toc177636013"/>
      <w:bookmarkStart w:id="42" w:name="_Toc177382535"/>
      <w:bookmarkStart w:id="43" w:name="_Toc177634091"/>
      <w:bookmarkStart w:id="44" w:name="_Toc177636011"/>
      <w:bookmarkStart w:id="45" w:name="_Ref110846681"/>
      <w:bookmarkStart w:id="46" w:name="_Ref110846690"/>
      <w:bookmarkStart w:id="47" w:name="_Toc113354370"/>
    </w:p>
    <w:p w14:paraId="4E283E73" w14:textId="2279BE0E" w:rsidR="00B17C5F" w:rsidRPr="00CC75A2" w:rsidRDefault="00B17C5F" w:rsidP="00B17C5F">
      <w:pPr>
        <w:pStyle w:val="Heading1"/>
        <w:rPr>
          <w:sz w:val="32"/>
          <w:szCs w:val="32"/>
        </w:rPr>
      </w:pPr>
      <w:r w:rsidRPr="00CC75A2">
        <w:rPr>
          <w:sz w:val="32"/>
          <w:szCs w:val="32"/>
        </w:rPr>
        <w:t>Experiment Planning</w:t>
      </w:r>
      <w:bookmarkEnd w:id="39"/>
      <w:bookmarkEnd w:id="40"/>
      <w:bookmarkEnd w:id="41"/>
    </w:p>
    <w:p w14:paraId="78F0A774" w14:textId="2CC0CBF8" w:rsidR="00B17C5F" w:rsidRPr="00CC75A2" w:rsidRDefault="00B17C5F" w:rsidP="00B17C5F">
      <w:pPr>
        <w:keepNext/>
      </w:pPr>
      <w:r w:rsidRPr="00CC75A2">
        <w:t>The qualitative</w:t>
      </w:r>
      <w:r w:rsidR="00CC75A2" w:rsidRPr="00CC75A2">
        <w:t xml:space="preserve"> and quantitative</w:t>
      </w:r>
      <w:r w:rsidRPr="00CC75A2">
        <w:t xml:space="preserve"> observations made </w:t>
      </w:r>
      <w:r w:rsidR="00CC75A2">
        <w:t xml:space="preserve">in </w:t>
      </w:r>
      <w:r w:rsidRPr="00CC75A2">
        <w:t>part I</w:t>
      </w:r>
      <w:r w:rsidR="00CC75A2" w:rsidRPr="00CC75A2">
        <w:t xml:space="preserve"> and II</w:t>
      </w:r>
      <w:r w:rsidRPr="00CC75A2">
        <w:t xml:space="preserve"> in Lab 4.1 will suggest </w:t>
      </w:r>
      <w:r w:rsidR="00CC75A2" w:rsidRPr="00CC75A2">
        <w:t xml:space="preserve">an </w:t>
      </w:r>
      <w:r w:rsidRPr="00CC75A2">
        <w:t xml:space="preserve">experiment that you and your </w:t>
      </w:r>
      <w:r w:rsidR="002E3918">
        <w:t>partner</w:t>
      </w:r>
      <w:r w:rsidRPr="00CC75A2">
        <w:t xml:space="preserve"> will design to quantitatively test the specificity and potency </w:t>
      </w:r>
      <w:r w:rsidRPr="00CC75A2">
        <w:lastRenderedPageBreak/>
        <w:t>of inducing and anti-inducing agents.  After making qualitative</w:t>
      </w:r>
      <w:r w:rsidR="00CC75A2">
        <w:t xml:space="preserve"> and quantitative</w:t>
      </w:r>
      <w:r w:rsidRPr="00CC75A2">
        <w:t xml:space="preserve"> observations, you may ask questions such as the following, or whatever can be tested with our system</w:t>
      </w:r>
      <w:r w:rsidR="00CC75A2" w:rsidRPr="00CC75A2">
        <w:t>:</w:t>
      </w:r>
    </w:p>
    <w:p w14:paraId="4354F9A3" w14:textId="77777777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What concentration of inducer (or inhibitor) is required to induce (or inhibit) expression?</w:t>
      </w:r>
    </w:p>
    <w:p w14:paraId="2DF9BCA8" w14:textId="77777777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How does the potency of different inducers compare?</w:t>
      </w:r>
    </w:p>
    <w:p w14:paraId="60C735B9" w14:textId="77777777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What is the time course of induction (slower or faster than growth rate)?</w:t>
      </w:r>
    </w:p>
    <w:p w14:paraId="5564D8FE" w14:textId="77777777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 xml:space="preserve">How many molecules of an inducer are required </w:t>
      </w:r>
      <w:r w:rsidRPr="00CC75A2">
        <w:rPr>
          <w:b/>
          <w:i/>
        </w:rPr>
        <w:t>per cell</w:t>
      </w:r>
      <w:r w:rsidRPr="00CC75A2">
        <w:rPr>
          <w:i/>
        </w:rPr>
        <w:t xml:space="preserve"> to induce expression?</w:t>
      </w:r>
    </w:p>
    <w:p w14:paraId="18E55980" w14:textId="77777777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How well does glucose work as an inhibitor?</w:t>
      </w:r>
    </w:p>
    <w:p w14:paraId="31A73315" w14:textId="6E8BA7D5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Does maltose work as an inhibitor?</w:t>
      </w:r>
      <w:r w:rsidR="00EF3D16">
        <w:rPr>
          <w:i/>
        </w:rPr>
        <w:t xml:space="preserve">  If so, how does it work as compared to glucose?</w:t>
      </w:r>
    </w:p>
    <w:p w14:paraId="765F6D37" w14:textId="10EE6BE8" w:rsidR="00B17C5F" w:rsidRPr="00CC75A2" w:rsidRDefault="00B17C5F" w:rsidP="00B17C5F">
      <w:pPr>
        <w:numPr>
          <w:ilvl w:val="0"/>
          <w:numId w:val="6"/>
        </w:numPr>
        <w:rPr>
          <w:i/>
        </w:rPr>
      </w:pPr>
      <w:r w:rsidRPr="00CC75A2">
        <w:rPr>
          <w:i/>
        </w:rPr>
        <w:t>Is galactose an inducer or inhibitor?</w:t>
      </w:r>
      <w:r w:rsidR="00EF3D16">
        <w:rPr>
          <w:i/>
        </w:rPr>
        <w:t xml:space="preserve"> If inducer, how does it compare to lactose?  If inhibitor, how does it compare to glucose?</w:t>
      </w:r>
    </w:p>
    <w:p w14:paraId="039ED36A" w14:textId="77777777" w:rsidR="00EF3D16" w:rsidRDefault="00EF3D16" w:rsidP="00B17C5F"/>
    <w:p w14:paraId="45EDC6D9" w14:textId="581D3277" w:rsidR="00B17C5F" w:rsidRPr="00CC75A2" w:rsidRDefault="00B17C5F" w:rsidP="00B17C5F">
      <w:r w:rsidRPr="00CC75A2">
        <w:t xml:space="preserve">To do this </w:t>
      </w:r>
      <w:r w:rsidR="002E3918">
        <w:t>you and your lab partner</w:t>
      </w:r>
      <w:r w:rsidRPr="00CC75A2">
        <w:t xml:space="preserve"> will be given </w:t>
      </w:r>
      <w:r w:rsidR="00CC75A2" w:rsidRPr="00CC75A2">
        <w:t>one</w:t>
      </w:r>
      <w:r w:rsidRPr="00CC75A2">
        <w:t xml:space="preserve"> row in a 96 well plate (12 wells), to conduct a small quantitative experiment.  </w:t>
      </w:r>
      <w:r w:rsidR="00CC75A2">
        <w:t>If you are interested in doing a more complex experiment, you can do that in</w:t>
      </w:r>
      <w:r w:rsidR="002E3918">
        <w:t xml:space="preserve"> the</w:t>
      </w:r>
      <w:r w:rsidR="00CC75A2">
        <w:t xml:space="preserve"> Unit 5 Project Lab.</w:t>
      </w:r>
    </w:p>
    <w:p w14:paraId="4DF25403" w14:textId="1BFDF6D1" w:rsidR="00B17C5F" w:rsidRPr="00CC75A2" w:rsidRDefault="00B17C5F" w:rsidP="00B17C5F">
      <w:r w:rsidRPr="00CC75A2">
        <w:t>Samples will be loaded into 96-well plates after you design your experiment.  The data will be collected during and after the lab period.  The results will be distributed digitally for analysis in Lab 4.2.</w:t>
      </w:r>
    </w:p>
    <w:p w14:paraId="648DE77B" w14:textId="77777777" w:rsidR="00B17C5F" w:rsidRPr="00CC75A2" w:rsidRDefault="00B17C5F" w:rsidP="00B17C5F">
      <w:pPr>
        <w:pStyle w:val="Heading4"/>
        <w:rPr>
          <w:rFonts w:ascii="Times New Roman" w:hAnsi="Times New Roman" w:cs="Times New Roman"/>
        </w:rPr>
      </w:pPr>
    </w:p>
    <w:p w14:paraId="32F64535" w14:textId="77777777" w:rsidR="00B17C5F" w:rsidRPr="00CC75A2" w:rsidRDefault="00B17C5F" w:rsidP="00B17C5F">
      <w:pPr>
        <w:pStyle w:val="Heading4"/>
        <w:rPr>
          <w:rFonts w:ascii="Times New Roman" w:hAnsi="Times New Roman" w:cs="Times New Roman"/>
        </w:rPr>
      </w:pPr>
      <w:r w:rsidRPr="00CC75A2">
        <w:rPr>
          <w:rFonts w:ascii="Times New Roman" w:hAnsi="Times New Roman" w:cs="Times New Roman"/>
        </w:rPr>
        <w:t xml:space="preserve">The experiments that you and your colleagues plan will measure: </w:t>
      </w:r>
    </w:p>
    <w:p w14:paraId="2CC9CED5" w14:textId="77777777" w:rsidR="00B17C5F" w:rsidRPr="00CC75A2" w:rsidRDefault="00B17C5F" w:rsidP="00B17C5F">
      <w:pPr>
        <w:pStyle w:val="numberedlist"/>
        <w:numPr>
          <w:ilvl w:val="0"/>
          <w:numId w:val="4"/>
        </w:numPr>
      </w:pPr>
      <w:r w:rsidRPr="00CC75A2">
        <w:t>GFP fluorescence as a function of time.</w:t>
      </w:r>
    </w:p>
    <w:p w14:paraId="55108D48" w14:textId="77777777" w:rsidR="00B17C5F" w:rsidRPr="00CC75A2" w:rsidRDefault="00B17C5F" w:rsidP="00B17C5F">
      <w:pPr>
        <w:pStyle w:val="numberedlist"/>
        <w:numPr>
          <w:ilvl w:val="0"/>
          <w:numId w:val="4"/>
        </w:numPr>
      </w:pPr>
      <w:r w:rsidRPr="00CC75A2">
        <w:t>Cell concentration (OD</w:t>
      </w:r>
      <w:r w:rsidRPr="00CC75A2">
        <w:rPr>
          <w:vertAlign w:val="subscript"/>
        </w:rPr>
        <w:t>595</w:t>
      </w:r>
      <w:r w:rsidRPr="00CC75A2">
        <w:t>) as a function of time.</w:t>
      </w:r>
    </w:p>
    <w:p w14:paraId="387E091C" w14:textId="77777777" w:rsidR="00EF3D16" w:rsidRDefault="00EF3D16" w:rsidP="00B17C5F">
      <w:pPr>
        <w:pStyle w:val="warning"/>
      </w:pPr>
    </w:p>
    <w:p w14:paraId="7708DD11" w14:textId="7F213869" w:rsidR="00B17C5F" w:rsidRPr="00CC75A2" w:rsidRDefault="00B17C5F" w:rsidP="00B17C5F">
      <w:pPr>
        <w:pStyle w:val="warning"/>
      </w:pPr>
      <w:r w:rsidRPr="00CC75A2">
        <w:t>The plan should use the plate format effectively, including dilution series and control samples.</w:t>
      </w:r>
    </w:p>
    <w:p w14:paraId="2A15D42E" w14:textId="7FB9D9F6" w:rsidR="00B17C5F" w:rsidRPr="00CC75A2" w:rsidRDefault="00B17C5F" w:rsidP="00B17C5F">
      <w:pPr>
        <w:pStyle w:val="numberedlist"/>
        <w:numPr>
          <w:ilvl w:val="0"/>
          <w:numId w:val="0"/>
        </w:numPr>
        <w:ind w:left="360" w:hanging="360"/>
      </w:pPr>
      <w:r w:rsidRPr="00CC75A2">
        <w:rPr>
          <w:i/>
          <w:u w:val="single"/>
        </w:rPr>
        <w:t>Before you begin Part 4 of Lab 4.1,</w:t>
      </w:r>
      <w:r w:rsidRPr="00CC75A2">
        <w:t xml:space="preserve"> you and your </w:t>
      </w:r>
      <w:r w:rsidR="002E3918">
        <w:t>partner</w:t>
      </w:r>
      <w:r w:rsidRPr="00CC75A2">
        <w:t xml:space="preserve"> must receive approval for your planned experiment. You need to submit this plan for approval. The plan should include a plate layout and describe (1) the questions addressed, (2) the composition of each well, and (3) the methods of well preparation</w:t>
      </w:r>
      <w:r w:rsidR="00CC75A2" w:rsidRPr="00CC75A2">
        <w:t>.</w:t>
      </w:r>
    </w:p>
    <w:p w14:paraId="3CEC3E8B" w14:textId="77777777" w:rsidR="00B17C5F" w:rsidRPr="00CC75A2" w:rsidRDefault="00B17C5F" w:rsidP="00B17C5F"/>
    <w:p w14:paraId="319BDCD9" w14:textId="6C3D0B23" w:rsidR="00CC02B0" w:rsidRPr="00CC75A2" w:rsidRDefault="00CC02B0" w:rsidP="00CC02B0">
      <w:pPr>
        <w:rPr>
          <w:b/>
          <w:sz w:val="32"/>
          <w:szCs w:val="32"/>
        </w:rPr>
      </w:pPr>
      <w:r w:rsidRPr="00CC75A2">
        <w:rPr>
          <w:b/>
          <w:sz w:val="32"/>
          <w:szCs w:val="32"/>
        </w:rPr>
        <w:t>Part 4: Set up your quantitative experiment</w:t>
      </w:r>
    </w:p>
    <w:p w14:paraId="2A49E23A" w14:textId="0AEC9881" w:rsidR="00CC02B0" w:rsidRPr="00CC75A2" w:rsidRDefault="00CC75A2" w:rsidP="00CC75A2">
      <w:pPr>
        <w:spacing w:after="160" w:line="259" w:lineRule="auto"/>
        <w:jc w:val="left"/>
        <w:rPr>
          <w:rFonts w:eastAsia="SimSun"/>
          <w:color w:val="000000"/>
          <w:lang w:eastAsia="zh-CN"/>
        </w:rPr>
      </w:pPr>
      <w:r w:rsidRPr="00CC75A2">
        <w:t>T</w:t>
      </w:r>
      <w:r w:rsidR="00CC02B0" w:rsidRPr="00CC75A2">
        <w:t>he plates will be constructed in the following manner:</w:t>
      </w:r>
    </w:p>
    <w:p w14:paraId="6F788D87" w14:textId="5142548A" w:rsidR="00CC02B0" w:rsidRPr="00CC75A2" w:rsidRDefault="00CC02B0" w:rsidP="00CC02B0">
      <w:pPr>
        <w:pStyle w:val="numberedlist"/>
        <w:keepNext/>
        <w:numPr>
          <w:ilvl w:val="0"/>
          <w:numId w:val="5"/>
        </w:numPr>
        <w:rPr>
          <w:b/>
          <w:bCs/>
        </w:rPr>
      </w:pPr>
      <w:r w:rsidRPr="00CC75A2">
        <w:lastRenderedPageBreak/>
        <w:t xml:space="preserve">Assemble your ingredients into microcentrifuge tubes. </w:t>
      </w:r>
      <w:r w:rsidRPr="00CC75A2">
        <w:rPr>
          <w:b/>
          <w:bCs/>
        </w:rPr>
        <w:t xml:space="preserve">You should make </w:t>
      </w:r>
      <w:r w:rsidR="00CC75A2">
        <w:rPr>
          <w:b/>
          <w:bCs/>
        </w:rPr>
        <w:t>a total of</w:t>
      </w:r>
      <w:r w:rsidRPr="00CC75A2">
        <w:rPr>
          <w:b/>
          <w:bCs/>
        </w:rPr>
        <w:t xml:space="preserve"> 400 </w:t>
      </w:r>
      <w:proofErr w:type="spellStart"/>
      <w:r w:rsidR="00CC75A2">
        <w:rPr>
          <w:b/>
          <w:bCs/>
        </w:rPr>
        <w:t>u</w:t>
      </w:r>
      <w:r w:rsidRPr="00CC75A2">
        <w:rPr>
          <w:b/>
          <w:bCs/>
        </w:rPr>
        <w:t>L</w:t>
      </w:r>
      <w:proofErr w:type="spellEnd"/>
      <w:r w:rsidR="007E0097">
        <w:rPr>
          <w:b/>
          <w:bCs/>
        </w:rPr>
        <w:t xml:space="preserve"> (this is more than you’ll need)</w:t>
      </w:r>
      <w:r w:rsidRPr="00CC75A2">
        <w:rPr>
          <w:b/>
          <w:bCs/>
        </w:rPr>
        <w:t xml:space="preserve">. Use your planning document. </w:t>
      </w:r>
    </w:p>
    <w:p w14:paraId="7EDA78AA" w14:textId="14A898A1" w:rsidR="00CC02B0" w:rsidRPr="00CC75A2" w:rsidRDefault="00CC02B0" w:rsidP="00CC02B0">
      <w:pPr>
        <w:pStyle w:val="numberedlist"/>
        <w:keepNext/>
        <w:numPr>
          <w:ilvl w:val="0"/>
          <w:numId w:val="5"/>
        </w:numPr>
      </w:pPr>
      <w:r w:rsidRPr="00CC75A2">
        <w:t xml:space="preserve">You and your coworkers will load 200 </w:t>
      </w:r>
      <w:proofErr w:type="spellStart"/>
      <w:r w:rsidR="00CC75A2">
        <w:t>u</w:t>
      </w:r>
      <w:r w:rsidRPr="00CC75A2">
        <w:t>L</w:t>
      </w:r>
      <w:proofErr w:type="spellEnd"/>
      <w:r w:rsidRPr="00CC75A2">
        <w:t xml:space="preserve"> of </w:t>
      </w:r>
      <w:r w:rsidR="00CC75A2">
        <w:t xml:space="preserve">each </w:t>
      </w:r>
      <w:r w:rsidRPr="00CC75A2">
        <w:t>solution into each of your wells.  Put tape over your completed wells to prevent any accidental additions to them.</w:t>
      </w:r>
    </w:p>
    <w:p w14:paraId="1E53FF15" w14:textId="77777777" w:rsidR="00CC02B0" w:rsidRPr="00CC75A2" w:rsidRDefault="00CC02B0" w:rsidP="00CC02B0">
      <w:pPr>
        <w:pStyle w:val="numberedlist"/>
        <w:keepNext/>
        <w:numPr>
          <w:ilvl w:val="0"/>
          <w:numId w:val="5"/>
        </w:numPr>
      </w:pPr>
      <w:r w:rsidRPr="00CC75A2">
        <w:t>Pass the plate to the next group and they will do the same.</w:t>
      </w:r>
    </w:p>
    <w:p w14:paraId="176D7CB5" w14:textId="7B3D25AA" w:rsidR="00CC02B0" w:rsidRPr="00CC75A2" w:rsidRDefault="00CC02B0" w:rsidP="00CC02B0">
      <w:pPr>
        <w:pStyle w:val="numberedlist"/>
        <w:numPr>
          <w:ilvl w:val="0"/>
          <w:numId w:val="5"/>
        </w:numPr>
      </w:pPr>
      <w:r w:rsidRPr="00CC75A2">
        <w:t xml:space="preserve">After all the groups have loaded the wells, the instructors will add 2 </w:t>
      </w:r>
      <w:proofErr w:type="spellStart"/>
      <w:r w:rsidR="00CC75A2">
        <w:t>u</w:t>
      </w:r>
      <w:r w:rsidRPr="00CC75A2">
        <w:t>L</w:t>
      </w:r>
      <w:proofErr w:type="spellEnd"/>
      <w:r w:rsidRPr="00CC75A2">
        <w:t xml:space="preserve"> of active </w:t>
      </w:r>
      <w:r w:rsidRPr="00CC75A2">
        <w:rPr>
          <w:i/>
        </w:rPr>
        <w:t>E. coli</w:t>
      </w:r>
      <w:r w:rsidRPr="00CC75A2">
        <w:t xml:space="preserve"> culture into each of the wells.  </w:t>
      </w:r>
      <w:r w:rsidRPr="00CC75A2">
        <w:rPr>
          <w:b/>
          <w:i/>
        </w:rPr>
        <w:t>This will not appreciatively change the total volume in the well, and can be effectively ignored.</w:t>
      </w:r>
    </w:p>
    <w:p w14:paraId="5E55E872" w14:textId="77777777" w:rsidR="00CC02B0" w:rsidRPr="00CC75A2" w:rsidRDefault="00CC02B0" w:rsidP="00CC02B0">
      <w:pPr>
        <w:pStyle w:val="numberedlist"/>
        <w:numPr>
          <w:ilvl w:val="0"/>
          <w:numId w:val="5"/>
        </w:numPr>
      </w:pPr>
      <w:r w:rsidRPr="00CC75A2">
        <w:t>The instructors will load control samples into reserve wells. These controls will be serially diluted cells (without any added sugar) to produce a calibration curve and an on-plate blank.</w:t>
      </w:r>
    </w:p>
    <w:p w14:paraId="367B820C" w14:textId="77777777" w:rsidR="00CC02B0" w:rsidRPr="00CC75A2" w:rsidRDefault="00CC02B0" w:rsidP="00CC02B0">
      <w:pPr>
        <w:pStyle w:val="Heading4"/>
        <w:rPr>
          <w:rFonts w:ascii="Times New Roman" w:hAnsi="Times New Roman" w:cs="Times New Roman"/>
        </w:rPr>
      </w:pPr>
    </w:p>
    <w:p w14:paraId="3B38D7BB" w14:textId="77777777" w:rsidR="00CC02B0" w:rsidRPr="00CC75A2" w:rsidRDefault="00CC02B0" w:rsidP="00CC02B0">
      <w:pPr>
        <w:pStyle w:val="Heading4"/>
        <w:rPr>
          <w:rFonts w:ascii="Times New Roman" w:hAnsi="Times New Roman" w:cs="Times New Roman"/>
        </w:rPr>
      </w:pPr>
      <w:r w:rsidRPr="00CC75A2">
        <w:rPr>
          <w:rFonts w:ascii="Times New Roman" w:hAnsi="Times New Roman" w:cs="Times New Roman"/>
        </w:rPr>
        <w:t>Data collection</w:t>
      </w:r>
    </w:p>
    <w:p w14:paraId="6AFA7E45" w14:textId="16E97584" w:rsidR="00CC02B0" w:rsidRPr="00CC75A2" w:rsidRDefault="00CC02B0" w:rsidP="00CC75A2">
      <w:r w:rsidRPr="00CC75A2">
        <w:t>The plates containing the experimental solutions will be loaded into the plate readers, and a program will run which takes OD and fluorescence in rapid succession every 15 minutes for several hours.</w:t>
      </w:r>
      <w:bookmarkStart w:id="48" w:name="_Toc177382539"/>
      <w:bookmarkStart w:id="49" w:name="_Toc177634095"/>
      <w:bookmarkStart w:id="50" w:name="_Toc177636015"/>
    </w:p>
    <w:bookmarkEnd w:id="48"/>
    <w:bookmarkEnd w:id="49"/>
    <w:bookmarkEnd w:id="50"/>
    <w:p w14:paraId="46B2D7F3" w14:textId="77777777" w:rsidR="00CC02B0" w:rsidRPr="00CC75A2" w:rsidRDefault="00CC02B0" w:rsidP="00CC02B0"/>
    <w:p w14:paraId="0EE2057E" w14:textId="7D123B1D" w:rsidR="00D321B1" w:rsidRPr="00CC75A2" w:rsidRDefault="00D321B1" w:rsidP="00B23D61">
      <w:pPr>
        <w:pStyle w:val="Heading3"/>
        <w:jc w:val="left"/>
        <w:rPr>
          <w:rFonts w:ascii="Times New Roman" w:hAnsi="Times New Roman"/>
        </w:rPr>
      </w:pPr>
      <w:r w:rsidRPr="00CC75A2">
        <w:rPr>
          <w:rFonts w:ascii="Times New Roman" w:hAnsi="Times New Roman"/>
        </w:rPr>
        <w:t>Clean up</w:t>
      </w:r>
      <w:bookmarkEnd w:id="42"/>
      <w:bookmarkEnd w:id="43"/>
      <w:bookmarkEnd w:id="44"/>
    </w:p>
    <w:p w14:paraId="0FF969A0" w14:textId="77777777" w:rsidR="00D321B1" w:rsidRPr="00CC75A2" w:rsidRDefault="00D321B1" w:rsidP="00B23D61">
      <w:pPr>
        <w:jc w:val="left"/>
      </w:pPr>
      <w:r w:rsidRPr="00CC75A2">
        <w:t>Save unopened sugar solutions.</w:t>
      </w:r>
    </w:p>
    <w:p w14:paraId="6E55D11A" w14:textId="77777777" w:rsidR="00D321B1" w:rsidRPr="00CC75A2" w:rsidRDefault="00D321B1" w:rsidP="00D321B1">
      <w:r w:rsidRPr="00CC75A2">
        <w:t xml:space="preserve">Any sugar solutions that have been opened should be disposed of down the drain, and the tubes thrown in the trash. </w:t>
      </w:r>
    </w:p>
    <w:p w14:paraId="6D43B234" w14:textId="0461C014" w:rsidR="00D321B1" w:rsidRPr="00CC75A2" w:rsidRDefault="00D321B1" w:rsidP="00D321B1">
      <w:r w:rsidRPr="00CC75A2">
        <w:rPr>
          <w:i/>
        </w:rPr>
        <w:t xml:space="preserve">E. coli </w:t>
      </w:r>
      <w:r w:rsidRPr="00CC75A2">
        <w:t>in plastic microfuge tubes should go straight into the red biohazard bin</w:t>
      </w:r>
      <w:r w:rsidR="00252C9A" w:rsidRPr="00CC75A2">
        <w:t xml:space="preserve"> (for </w:t>
      </w:r>
      <w:r w:rsidR="00CC75A2" w:rsidRPr="00CC75A2">
        <w:t>Thursday</w:t>
      </w:r>
      <w:r w:rsidR="00252C9A" w:rsidRPr="00CC75A2">
        <w:t xml:space="preserve"> lab, for </w:t>
      </w:r>
      <w:r w:rsidR="00CC75A2" w:rsidRPr="00CC75A2">
        <w:t>Tuesday</w:t>
      </w:r>
      <w:r w:rsidR="00252C9A" w:rsidRPr="00CC75A2">
        <w:t xml:space="preserve"> we will save them)</w:t>
      </w:r>
    </w:p>
    <w:p w14:paraId="390596A3" w14:textId="2670C5BB" w:rsidR="00252C9A" w:rsidRPr="00CC75A2" w:rsidRDefault="00D321B1" w:rsidP="00252C9A">
      <w:r w:rsidRPr="00CC75A2">
        <w:t xml:space="preserve">All </w:t>
      </w:r>
      <w:r w:rsidRPr="00CC75A2">
        <w:rPr>
          <w:i/>
        </w:rPr>
        <w:t>E. coli</w:t>
      </w:r>
      <w:r w:rsidRPr="00CC75A2">
        <w:t xml:space="preserve"> cultures in glass tubes or flasks should be killed with bleach, and then poured down the drain.  Put flasks with dirty dishes, glass tubes in the glass trash.</w:t>
      </w:r>
      <w:r w:rsidR="00252C9A" w:rsidRPr="00CC75A2">
        <w:t xml:space="preserve"> (for Tuesday lab, for Thursday we will save them)</w:t>
      </w:r>
    </w:p>
    <w:bookmarkEnd w:id="45"/>
    <w:bookmarkEnd w:id="46"/>
    <w:bookmarkEnd w:id="47"/>
    <w:p w14:paraId="1767CE7A" w14:textId="170B6C0B" w:rsidR="00DE1C7F" w:rsidRPr="00CC75A2" w:rsidRDefault="00DE1C7F">
      <w:pPr>
        <w:spacing w:after="160" w:line="259" w:lineRule="auto"/>
        <w:jc w:val="left"/>
        <w:rPr>
          <w:b/>
          <w:sz w:val="28"/>
          <w:szCs w:val="28"/>
        </w:rPr>
      </w:pPr>
    </w:p>
    <w:sectPr w:rsidR="00DE1C7F" w:rsidRPr="00C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963D" w14:textId="77777777" w:rsidR="004609D6" w:rsidRDefault="004609D6" w:rsidP="00D321B1">
      <w:pPr>
        <w:spacing w:after="0"/>
      </w:pPr>
      <w:r>
        <w:separator/>
      </w:r>
    </w:p>
  </w:endnote>
  <w:endnote w:type="continuationSeparator" w:id="0">
    <w:p w14:paraId="2825780E" w14:textId="77777777" w:rsidR="004609D6" w:rsidRDefault="004609D6" w:rsidP="00D32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1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D6F93" w14:textId="77777777" w:rsidR="00375106" w:rsidRDefault="0037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8E1718" w14:textId="77777777" w:rsidR="00375106" w:rsidRDefault="0037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8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AA4C7" w14:textId="77777777" w:rsidR="00375106" w:rsidRDefault="0037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202FCC" w14:textId="77777777" w:rsidR="00375106" w:rsidRDefault="0037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3A3F" w14:textId="77777777" w:rsidR="004609D6" w:rsidRDefault="004609D6" w:rsidP="00D321B1">
      <w:pPr>
        <w:spacing w:after="0"/>
      </w:pPr>
      <w:r>
        <w:separator/>
      </w:r>
    </w:p>
  </w:footnote>
  <w:footnote w:type="continuationSeparator" w:id="0">
    <w:p w14:paraId="239087DE" w14:textId="77777777" w:rsidR="004609D6" w:rsidRDefault="004609D6" w:rsidP="00D321B1">
      <w:pPr>
        <w:spacing w:after="0"/>
      </w:pPr>
      <w:r>
        <w:continuationSeparator/>
      </w:r>
    </w:p>
  </w:footnote>
  <w:footnote w:id="1">
    <w:p w14:paraId="3AF2C010" w14:textId="77777777" w:rsidR="00375106" w:rsidRPr="00544F14" w:rsidRDefault="00375106" w:rsidP="00D321B1">
      <w:pPr>
        <w:pStyle w:val="FootnoteText"/>
        <w:spacing w:after="60"/>
        <w:jc w:val="left"/>
      </w:pPr>
      <w:r w:rsidRPr="00544F14">
        <w:rPr>
          <w:rStyle w:val="FootnoteReference"/>
        </w:rPr>
        <w:footnoteRef/>
      </w:r>
      <w:r w:rsidRPr="00544F14">
        <w:t xml:space="preserve"> </w:t>
      </w:r>
      <w:r w:rsidRPr="00544F14">
        <w:tab/>
        <w:t xml:space="preserve">Jacob, F, J Monod. 1961. Genetic regulatory mechanisms in the synthesis of proteins. </w:t>
      </w:r>
      <w:r w:rsidRPr="00544F14">
        <w:rPr>
          <w:i/>
        </w:rPr>
        <w:t>J. Mol. Biol.</w:t>
      </w:r>
      <w:r w:rsidRPr="00544F14">
        <w:t xml:space="preserve"> </w:t>
      </w:r>
      <w:r w:rsidRPr="00544F14">
        <w:rPr>
          <w:b/>
        </w:rPr>
        <w:t>3,</w:t>
      </w:r>
      <w:r w:rsidRPr="00544F14">
        <w:t xml:space="preserve"> 318-356.</w:t>
      </w:r>
    </w:p>
  </w:footnote>
  <w:footnote w:id="2">
    <w:p w14:paraId="0DBEF205" w14:textId="77777777" w:rsidR="00375106" w:rsidRPr="00993B06" w:rsidRDefault="00375106" w:rsidP="00D321B1">
      <w:pPr>
        <w:pStyle w:val="FootnoteText"/>
        <w:spacing w:after="60"/>
        <w:jc w:val="left"/>
        <w:rPr>
          <w:color w:val="auto"/>
        </w:rPr>
      </w:pPr>
      <w:r w:rsidRPr="00993B06">
        <w:rPr>
          <w:rStyle w:val="FootnoteReference"/>
          <w:color w:val="auto"/>
        </w:rPr>
        <w:footnoteRef/>
      </w:r>
      <w:r w:rsidRPr="00993B06">
        <w:rPr>
          <w:color w:val="auto"/>
        </w:rPr>
        <w:tab/>
        <w:t xml:space="preserve">Nobel Web, The Nobel Prize in Physiology or Medicine, 1965, available from </w:t>
      </w:r>
      <w:hyperlink r:id="rId1" w:history="1">
        <w:r w:rsidRPr="00993B06">
          <w:rPr>
            <w:rStyle w:val="Hyperlink"/>
            <w:color w:val="auto"/>
          </w:rPr>
          <w:t>http://nobelprize.org/nobel_prizes/medicine/laureates/1965/</w:t>
        </w:r>
      </w:hyperlink>
      <w:r w:rsidRPr="00993B06">
        <w:rPr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DC87" w14:textId="5E0002FB" w:rsidR="00375106" w:rsidRDefault="00375106">
    <w:pPr>
      <w:pStyle w:val="Header"/>
    </w:pPr>
    <w:r>
      <w:t>Bio 1</w:t>
    </w:r>
    <w:r w:rsidR="00F41422">
      <w:t>61</w:t>
    </w:r>
    <w:r>
      <w:t>H</w:t>
    </w:r>
    <w:r>
      <w:ptab w:relativeTo="margin" w:alignment="center" w:leader="none"/>
    </w:r>
    <w:r>
      <w:t>Lab 4</w:t>
    </w:r>
    <w:r w:rsidR="007E7E6B">
      <w:t>.1</w:t>
    </w:r>
    <w:r>
      <w:t xml:space="preserve"> Regulation of Gene Expression</w:t>
    </w:r>
    <w:r>
      <w:ptab w:relativeTo="margin" w:alignment="right" w:leader="none"/>
    </w:r>
    <w:r w:rsidR="008F6D85">
      <w:t>Fall 202</w:t>
    </w:r>
    <w:r w:rsidR="00F160B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7016" w14:textId="77777777" w:rsidR="00375106" w:rsidRDefault="00375106">
    <w:pPr>
      <w:pStyle w:val="Header"/>
    </w:pPr>
    <w:r>
      <w:t>Bio 190H</w:t>
    </w:r>
    <w:r>
      <w:ptab w:relativeTo="margin" w:alignment="center" w:leader="none"/>
    </w:r>
    <w:r>
      <w:t>Lab 4 regulation of gene expression</w:t>
    </w:r>
    <w:r>
      <w:ptab w:relativeTo="margin" w:alignment="right" w:leader="none"/>
    </w:r>
    <w:r>
      <w:t>fall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0B0D796"/>
    <w:lvl w:ilvl="0">
      <w:start w:val="1"/>
      <w:numFmt w:val="decimal"/>
      <w:pStyle w:val="numberedlist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08B06DD8"/>
    <w:multiLevelType w:val="hybridMultilevel"/>
    <w:tmpl w:val="B7082BAC"/>
    <w:lvl w:ilvl="0" w:tplc="B8CE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6A588" w:tentative="1">
      <w:start w:val="1"/>
      <w:numFmt w:val="lowerLetter"/>
      <w:lvlText w:val="%2."/>
      <w:lvlJc w:val="left"/>
      <w:pPr>
        <w:ind w:left="1440" w:hanging="360"/>
      </w:pPr>
    </w:lvl>
    <w:lvl w:ilvl="2" w:tplc="EFD66D2C" w:tentative="1">
      <w:start w:val="1"/>
      <w:numFmt w:val="lowerRoman"/>
      <w:lvlText w:val="%3."/>
      <w:lvlJc w:val="right"/>
      <w:pPr>
        <w:ind w:left="2160" w:hanging="180"/>
      </w:pPr>
    </w:lvl>
    <w:lvl w:ilvl="3" w:tplc="C6BA5416" w:tentative="1">
      <w:start w:val="1"/>
      <w:numFmt w:val="decimal"/>
      <w:lvlText w:val="%4."/>
      <w:lvlJc w:val="left"/>
      <w:pPr>
        <w:ind w:left="2880" w:hanging="360"/>
      </w:pPr>
    </w:lvl>
    <w:lvl w:ilvl="4" w:tplc="5FCA28B4" w:tentative="1">
      <w:start w:val="1"/>
      <w:numFmt w:val="lowerLetter"/>
      <w:lvlText w:val="%5."/>
      <w:lvlJc w:val="left"/>
      <w:pPr>
        <w:ind w:left="3600" w:hanging="360"/>
      </w:pPr>
    </w:lvl>
    <w:lvl w:ilvl="5" w:tplc="CB808430" w:tentative="1">
      <w:start w:val="1"/>
      <w:numFmt w:val="lowerRoman"/>
      <w:lvlText w:val="%6."/>
      <w:lvlJc w:val="right"/>
      <w:pPr>
        <w:ind w:left="4320" w:hanging="180"/>
      </w:pPr>
    </w:lvl>
    <w:lvl w:ilvl="6" w:tplc="8EA267FA" w:tentative="1">
      <w:start w:val="1"/>
      <w:numFmt w:val="decimal"/>
      <w:lvlText w:val="%7."/>
      <w:lvlJc w:val="left"/>
      <w:pPr>
        <w:ind w:left="5040" w:hanging="360"/>
      </w:pPr>
    </w:lvl>
    <w:lvl w:ilvl="7" w:tplc="6018F094" w:tentative="1">
      <w:start w:val="1"/>
      <w:numFmt w:val="lowerLetter"/>
      <w:lvlText w:val="%8."/>
      <w:lvlJc w:val="left"/>
      <w:pPr>
        <w:ind w:left="5760" w:hanging="360"/>
      </w:pPr>
    </w:lvl>
    <w:lvl w:ilvl="8" w:tplc="FE686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C6F"/>
    <w:multiLevelType w:val="multilevel"/>
    <w:tmpl w:val="C438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69963C6"/>
    <w:multiLevelType w:val="hybridMultilevel"/>
    <w:tmpl w:val="DF02035E"/>
    <w:lvl w:ilvl="0" w:tplc="199CFD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4F45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0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ED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0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EB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4C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E9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5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F6029"/>
    <w:multiLevelType w:val="hybridMultilevel"/>
    <w:tmpl w:val="A6FC9526"/>
    <w:lvl w:ilvl="0" w:tplc="4A1ED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409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2142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22E332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F769F0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732B8B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46EBA6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08E530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E26B7F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D1654D9"/>
    <w:multiLevelType w:val="hybridMultilevel"/>
    <w:tmpl w:val="B82E5726"/>
    <w:lvl w:ilvl="0" w:tplc="13CE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723"/>
    <w:multiLevelType w:val="hybridMultilevel"/>
    <w:tmpl w:val="2B7215B0"/>
    <w:lvl w:ilvl="0" w:tplc="E58E1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584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9A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1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44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E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6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0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2E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2CE5"/>
    <w:multiLevelType w:val="hybridMultilevel"/>
    <w:tmpl w:val="20E66AA6"/>
    <w:lvl w:ilvl="0" w:tplc="27F8D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283B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F18338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9CE72E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27AF57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28653A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332885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800114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4E441D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9164A67"/>
    <w:multiLevelType w:val="hybridMultilevel"/>
    <w:tmpl w:val="0C8E1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6AB"/>
    <w:multiLevelType w:val="hybridMultilevel"/>
    <w:tmpl w:val="856ABC36"/>
    <w:lvl w:ilvl="0" w:tplc="0D96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679E"/>
    <w:multiLevelType w:val="multilevel"/>
    <w:tmpl w:val="C438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2BA5E8A"/>
    <w:multiLevelType w:val="hybridMultilevel"/>
    <w:tmpl w:val="36AC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4458"/>
    <w:multiLevelType w:val="hybridMultilevel"/>
    <w:tmpl w:val="2C400586"/>
    <w:lvl w:ilvl="0" w:tplc="0D96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B5F7E"/>
    <w:multiLevelType w:val="hybridMultilevel"/>
    <w:tmpl w:val="43E40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B1"/>
    <w:rsid w:val="00007DBF"/>
    <w:rsid w:val="000705BE"/>
    <w:rsid w:val="00071336"/>
    <w:rsid w:val="00092A2D"/>
    <w:rsid w:val="0016794D"/>
    <w:rsid w:val="001F2B31"/>
    <w:rsid w:val="00237671"/>
    <w:rsid w:val="00252C9A"/>
    <w:rsid w:val="002C37C5"/>
    <w:rsid w:val="002C4D0F"/>
    <w:rsid w:val="002E3918"/>
    <w:rsid w:val="002F4B70"/>
    <w:rsid w:val="003411AA"/>
    <w:rsid w:val="00342816"/>
    <w:rsid w:val="003443D0"/>
    <w:rsid w:val="00375106"/>
    <w:rsid w:val="00384A5D"/>
    <w:rsid w:val="003B340F"/>
    <w:rsid w:val="003D7352"/>
    <w:rsid w:val="003F5979"/>
    <w:rsid w:val="00400082"/>
    <w:rsid w:val="00422C5F"/>
    <w:rsid w:val="00451DF8"/>
    <w:rsid w:val="004609D6"/>
    <w:rsid w:val="00480D73"/>
    <w:rsid w:val="004B3ADA"/>
    <w:rsid w:val="00505391"/>
    <w:rsid w:val="00541610"/>
    <w:rsid w:val="0056107B"/>
    <w:rsid w:val="00582F04"/>
    <w:rsid w:val="005C1CAF"/>
    <w:rsid w:val="00646301"/>
    <w:rsid w:val="00694404"/>
    <w:rsid w:val="006974B2"/>
    <w:rsid w:val="006B7322"/>
    <w:rsid w:val="006C0322"/>
    <w:rsid w:val="006C594A"/>
    <w:rsid w:val="006C67CE"/>
    <w:rsid w:val="006E1E5B"/>
    <w:rsid w:val="00701991"/>
    <w:rsid w:val="007A3C57"/>
    <w:rsid w:val="007E0097"/>
    <w:rsid w:val="007E7252"/>
    <w:rsid w:val="007E7E6B"/>
    <w:rsid w:val="00844195"/>
    <w:rsid w:val="008C744E"/>
    <w:rsid w:val="008F6D85"/>
    <w:rsid w:val="009126C1"/>
    <w:rsid w:val="00941749"/>
    <w:rsid w:val="00965B0A"/>
    <w:rsid w:val="00974649"/>
    <w:rsid w:val="00A053D9"/>
    <w:rsid w:val="00A17051"/>
    <w:rsid w:val="00A17CDB"/>
    <w:rsid w:val="00A43A84"/>
    <w:rsid w:val="00A45245"/>
    <w:rsid w:val="00AD04C5"/>
    <w:rsid w:val="00AD492E"/>
    <w:rsid w:val="00B17C5F"/>
    <w:rsid w:val="00B23D61"/>
    <w:rsid w:val="00B252FD"/>
    <w:rsid w:val="00B26630"/>
    <w:rsid w:val="00B36106"/>
    <w:rsid w:val="00B844ED"/>
    <w:rsid w:val="00BC7DF4"/>
    <w:rsid w:val="00BF2088"/>
    <w:rsid w:val="00C178DB"/>
    <w:rsid w:val="00C20D4E"/>
    <w:rsid w:val="00C3767C"/>
    <w:rsid w:val="00C75646"/>
    <w:rsid w:val="00CC02B0"/>
    <w:rsid w:val="00CC75A2"/>
    <w:rsid w:val="00D31CA1"/>
    <w:rsid w:val="00D321B1"/>
    <w:rsid w:val="00D61B60"/>
    <w:rsid w:val="00DB7993"/>
    <w:rsid w:val="00DC3DEB"/>
    <w:rsid w:val="00DE10C6"/>
    <w:rsid w:val="00DE1C7F"/>
    <w:rsid w:val="00DE2244"/>
    <w:rsid w:val="00DE55E0"/>
    <w:rsid w:val="00DF4C9F"/>
    <w:rsid w:val="00E42858"/>
    <w:rsid w:val="00E61B4E"/>
    <w:rsid w:val="00EC2CE3"/>
    <w:rsid w:val="00EF3D16"/>
    <w:rsid w:val="00F04673"/>
    <w:rsid w:val="00F144EE"/>
    <w:rsid w:val="00F160BA"/>
    <w:rsid w:val="00F41422"/>
    <w:rsid w:val="00F54305"/>
    <w:rsid w:val="00F75D3E"/>
    <w:rsid w:val="00F9446A"/>
    <w:rsid w:val="00FD5884"/>
    <w:rsid w:val="00FD6B25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AD0A"/>
  <w15:chartTrackingRefBased/>
  <w15:docId w15:val="{7CA6AEAC-91CB-4E86-8041-D4D002BF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1B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71"/>
    <w:pPr>
      <w:keepNext/>
      <w:tabs>
        <w:tab w:val="num" w:pos="360"/>
      </w:tabs>
      <w:spacing w:after="60"/>
      <w:jc w:val="center"/>
      <w:outlineLvl w:val="0"/>
    </w:pPr>
    <w:rPr>
      <w:b/>
      <w:color w:val="000000"/>
      <w:kern w:val="32"/>
      <w:sz w:val="36"/>
    </w:rPr>
  </w:style>
  <w:style w:type="paragraph" w:styleId="Heading2">
    <w:name w:val="heading 2"/>
    <w:basedOn w:val="Normal"/>
    <w:next w:val="Normal"/>
    <w:link w:val="Heading2Char"/>
    <w:qFormat/>
    <w:rsid w:val="00D321B1"/>
    <w:pPr>
      <w:keepNext/>
      <w:jc w:val="center"/>
      <w:outlineLvl w:val="1"/>
    </w:pPr>
    <w:rPr>
      <w:rFonts w:ascii="Arial" w:hAnsi="Arial"/>
      <w:b/>
      <w:i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D321B1"/>
    <w:pPr>
      <w:keepNext/>
      <w:spacing w:before="180" w:after="60"/>
      <w:outlineLvl w:val="2"/>
    </w:pPr>
    <w:rPr>
      <w:rFonts w:ascii="Arial" w:hAnsi="Arial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321B1"/>
    <w:pPr>
      <w:keepNext/>
      <w:spacing w:before="60" w:after="60"/>
      <w:outlineLvl w:val="3"/>
    </w:pPr>
    <w:rPr>
      <w:rFonts w:ascii="Arial" w:hAnsi="Arial" w:cs="Arial"/>
      <w:b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671"/>
    <w:rPr>
      <w:rFonts w:ascii="Times New Roman" w:eastAsia="Times New Roman" w:hAnsi="Times New Roman" w:cs="Times New Roman"/>
      <w:b/>
      <w:color w:val="000000"/>
      <w:kern w:val="32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321B1"/>
    <w:rPr>
      <w:rFonts w:ascii="Arial" w:eastAsia="Times New Roman" w:hAnsi="Arial" w:cs="Times New Roman"/>
      <w:b/>
      <w:i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D321B1"/>
    <w:rPr>
      <w:rFonts w:ascii="Arial" w:eastAsia="Times New Roman" w:hAnsi="Arial" w:cs="Times New Roman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D321B1"/>
    <w:rPr>
      <w:rFonts w:ascii="Arial" w:eastAsia="Times New Roman" w:hAnsi="Arial" w:cs="Arial"/>
      <w:b/>
      <w:sz w:val="26"/>
      <w:szCs w:val="28"/>
    </w:rPr>
  </w:style>
  <w:style w:type="paragraph" w:styleId="Caption">
    <w:name w:val="caption"/>
    <w:basedOn w:val="Normal"/>
    <w:next w:val="Normal"/>
    <w:qFormat/>
    <w:rsid w:val="00D321B1"/>
    <w:pPr>
      <w:spacing w:before="120"/>
      <w:ind w:left="432" w:right="432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321B1"/>
    <w:pPr>
      <w:ind w:left="288" w:hanging="288"/>
    </w:pPr>
    <w:rPr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1B1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D321B1"/>
    <w:rPr>
      <w:color w:val="0000FF"/>
      <w:u w:val="single"/>
    </w:rPr>
  </w:style>
  <w:style w:type="character" w:styleId="FootnoteReference">
    <w:name w:val="footnote reference"/>
    <w:uiPriority w:val="99"/>
    <w:rsid w:val="00D321B1"/>
    <w:rPr>
      <w:vertAlign w:val="superscript"/>
    </w:rPr>
  </w:style>
  <w:style w:type="paragraph" w:customStyle="1" w:styleId="numberedlist">
    <w:name w:val="numbered list"/>
    <w:basedOn w:val="Normal"/>
    <w:rsid w:val="00D321B1"/>
    <w:pPr>
      <w:numPr>
        <w:numId w:val="1"/>
      </w:numPr>
    </w:pPr>
    <w:rPr>
      <w:rFonts w:eastAsia="SimSun"/>
      <w:color w:val="000000"/>
      <w:lang w:eastAsia="zh-CN"/>
    </w:rPr>
  </w:style>
  <w:style w:type="paragraph" w:customStyle="1" w:styleId="warning">
    <w:name w:val="warning"/>
    <w:basedOn w:val="Normal"/>
    <w:rsid w:val="00D321B1"/>
    <w:rPr>
      <w:b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41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1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1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195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Normal"/>
    <w:next w:val="Caption"/>
    <w:rsid w:val="00B23D61"/>
    <w:pPr>
      <w:keepNext/>
      <w:jc w:val="center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DC3DE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DEB"/>
    <w:pPr>
      <w:ind w:left="720"/>
      <w:contextualSpacing/>
      <w:jc w:val="left"/>
    </w:pPr>
    <w:rPr>
      <w:rFonts w:eastAsia="Cambria"/>
    </w:rPr>
  </w:style>
  <w:style w:type="table" w:styleId="TableGrid">
    <w:name w:val="Table Grid"/>
    <w:basedOn w:val="TableNormal"/>
    <w:uiPriority w:val="39"/>
    <w:rsid w:val="00F7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74649"/>
    <w:pPr>
      <w:keepLines/>
      <w:tabs>
        <w:tab w:val="clear" w:pos="36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464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7464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Allolactose.png" TargetMode="External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belprize.org/nobel_prizes/medicine/laureates/19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F5EB-2042-9F4D-9288-3573D52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Laura Francis</cp:lastModifiedBy>
  <cp:revision>7</cp:revision>
  <dcterms:created xsi:type="dcterms:W3CDTF">2022-09-24T17:43:00Z</dcterms:created>
  <dcterms:modified xsi:type="dcterms:W3CDTF">2022-10-18T20:09:00Z</dcterms:modified>
</cp:coreProperties>
</file>