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F4" w:rsidRPr="0056724A" w:rsidRDefault="00AA17F1">
      <w:pPr>
        <w:rPr>
          <w:rFonts w:cs="Times New Roman"/>
          <w:b/>
          <w:sz w:val="44"/>
        </w:rPr>
      </w:pPr>
      <w:bookmarkStart w:id="0" w:name="_GoBack"/>
      <w:bookmarkEnd w:id="0"/>
      <w:r w:rsidRPr="0056724A">
        <w:rPr>
          <w:rFonts w:cs="Times New Roman"/>
          <w:b/>
          <w:sz w:val="44"/>
        </w:rPr>
        <w:t>Lab 3.1 Counting Bacteria and Measuring the Rate of Bacterial Cell Division</w:t>
      </w:r>
      <w:r w:rsidRPr="0056724A">
        <w:rPr>
          <w:rStyle w:val="FootnoteReference"/>
          <w:rFonts w:cs="Times New Roman"/>
          <w:b/>
          <w:sz w:val="44"/>
        </w:rPr>
        <w:footnoteReference w:id="1"/>
      </w:r>
    </w:p>
    <w:p w:rsidR="00AA17F1" w:rsidRPr="0056724A" w:rsidRDefault="00AA17F1" w:rsidP="00AA17F1">
      <w:pPr>
        <w:rPr>
          <w:rFonts w:cs="Times New Roman"/>
        </w:rPr>
      </w:pPr>
      <w:bookmarkStart w:id="1" w:name="_Ref110845743"/>
      <w:r w:rsidRPr="0056724A">
        <w:rPr>
          <w:rFonts w:cs="Times New Roman"/>
        </w:rPr>
        <w:t>“</w:t>
      </w:r>
      <w:r w:rsidRPr="0056724A">
        <w:rPr>
          <w:rFonts w:cs="Times New Roman"/>
          <w:i/>
        </w:rPr>
        <w:t xml:space="preserve">Not everyone is mindful of it, but all cell biologists have two cells of interest: the one they are studying and </w:t>
      </w:r>
      <w:r w:rsidRPr="006D1948">
        <w:rPr>
          <w:rFonts w:cs="Times New Roman"/>
        </w:rPr>
        <w:t>Escherichia coli</w:t>
      </w:r>
      <w:r w:rsidRPr="0056724A">
        <w:rPr>
          <w:rFonts w:cs="Times New Roman"/>
          <w:i/>
        </w:rPr>
        <w:t>.</w:t>
      </w:r>
      <w:r w:rsidRPr="0056724A">
        <w:rPr>
          <w:rFonts w:cs="Times New Roman"/>
        </w:rPr>
        <w:t>”</w:t>
      </w:r>
      <w:r w:rsidRPr="0056724A">
        <w:rPr>
          <w:rStyle w:val="FootnoteReference"/>
          <w:rFonts w:cs="Times New Roman"/>
        </w:rPr>
        <w:footnoteReference w:id="2"/>
      </w:r>
      <w:bookmarkEnd w:id="1"/>
    </w:p>
    <w:p w:rsidR="00AA17F1" w:rsidRPr="0056724A" w:rsidRDefault="00AA17F1" w:rsidP="00AA17F1">
      <w:pPr>
        <w:rPr>
          <w:rFonts w:cs="Times New Roman"/>
        </w:rPr>
      </w:pPr>
      <w:r w:rsidRPr="0056724A">
        <w:rPr>
          <w:rFonts w:cs="Times New Roman"/>
        </w:rPr>
        <w:t>“</w:t>
      </w:r>
      <w:r w:rsidRPr="0056724A">
        <w:rPr>
          <w:rFonts w:cs="Times New Roman"/>
          <w:i/>
        </w:rPr>
        <w:t>What is true for the bacterium, is true for the elephant.</w:t>
      </w:r>
      <w:r w:rsidRPr="0056724A">
        <w:rPr>
          <w:rFonts w:cs="Times New Roman"/>
        </w:rPr>
        <w:t>”</w:t>
      </w:r>
      <w:r w:rsidRPr="0056724A">
        <w:rPr>
          <w:rStyle w:val="FootnoteReference"/>
          <w:rFonts w:cs="Times New Roman"/>
        </w:rPr>
        <w:footnoteReference w:id="3"/>
      </w:r>
    </w:p>
    <w:p w:rsidR="00AA17F1" w:rsidRPr="0056724A" w:rsidRDefault="00AA17F1" w:rsidP="00AA17F1">
      <w:pPr>
        <w:pStyle w:val="Heading3"/>
        <w:rPr>
          <w:rFonts w:ascii="Times New Roman" w:hAnsi="Times New Roman"/>
        </w:rPr>
      </w:pPr>
      <w:bookmarkStart w:id="2" w:name="_Toc177285412"/>
      <w:bookmarkStart w:id="3" w:name="_Toc177382507"/>
      <w:bookmarkStart w:id="4" w:name="_Toc177635984"/>
      <w:bookmarkStart w:id="5" w:name="_Toc177285413"/>
      <w:bookmarkStart w:id="6" w:name="_Toc177382508"/>
      <w:bookmarkStart w:id="7" w:name="_Toc177635985"/>
      <w:r w:rsidRPr="0056724A">
        <w:rPr>
          <w:rFonts w:ascii="Times New Roman" w:hAnsi="Times New Roman"/>
        </w:rPr>
        <w:t>Introduction &amp; Background</w:t>
      </w:r>
      <w:bookmarkEnd w:id="2"/>
      <w:bookmarkEnd w:id="3"/>
      <w:bookmarkEnd w:id="4"/>
    </w:p>
    <w:p w:rsidR="00AA17F1" w:rsidRPr="0056724A" w:rsidRDefault="000509D5" w:rsidP="00AA17F1">
      <w:pPr>
        <w:rPr>
          <w:rFonts w:cs="Times New Roman"/>
        </w:rPr>
      </w:pPr>
      <w:r>
        <w:rPr>
          <w:rFonts w:cs="Times New Roman"/>
        </w:rPr>
        <w:t>M</w:t>
      </w:r>
      <w:r w:rsidR="00AA17F1" w:rsidRPr="0056724A">
        <w:rPr>
          <w:rFonts w:cs="Times New Roman"/>
        </w:rPr>
        <w:t xml:space="preserve">odern cell biology has made tremendous strides toward understanding the inner workings of cells. Historically, bacteria have been organisms of choice for understanding the genetics and molecular &amp; cellular biology of cell function, including metabolism and replication, although the focus has shifted toward eukaryotes in recent years. Nonetheless, studies of prokaryotes remain an important component of the overall picture, including biodiversity (millions of bacterial species, estimated), disease (microbial pathogens, </w:t>
      </w:r>
      <w:r w:rsidR="00AA17F1" w:rsidRPr="0056724A">
        <w:rPr>
          <w:rFonts w:cs="Times New Roman"/>
          <w:i/>
        </w:rPr>
        <w:t>e.g.</w:t>
      </w:r>
      <w:r w:rsidR="00AA17F1" w:rsidRPr="0056724A">
        <w:rPr>
          <w:rFonts w:cs="Times New Roman"/>
        </w:rPr>
        <w:t xml:space="preserve"> </w:t>
      </w:r>
      <w:r w:rsidR="00AA17F1" w:rsidRPr="0056724A">
        <w:rPr>
          <w:rFonts w:cs="Times New Roman"/>
          <w:i/>
        </w:rPr>
        <w:t>E.</w:t>
      </w:r>
      <w:r w:rsidR="00CB18A9" w:rsidRPr="0056724A">
        <w:rPr>
          <w:rFonts w:cs="Times New Roman"/>
          <w:i/>
        </w:rPr>
        <w:t xml:space="preserve"> </w:t>
      </w:r>
      <w:r w:rsidR="00AA17F1" w:rsidRPr="0056724A">
        <w:rPr>
          <w:rFonts w:cs="Times New Roman"/>
          <w:i/>
        </w:rPr>
        <w:t>coli</w:t>
      </w:r>
      <w:r w:rsidR="00AA17F1" w:rsidRPr="0056724A">
        <w:rPr>
          <w:rFonts w:cs="Times New Roman"/>
        </w:rPr>
        <w:t>/</w:t>
      </w:r>
      <w:r w:rsidR="00AA17F1" w:rsidRPr="0056724A">
        <w:rPr>
          <w:rFonts w:cs="Times New Roman"/>
          <w:i/>
        </w:rPr>
        <w:t>Salmonella</w:t>
      </w:r>
      <w:r w:rsidR="00AA17F1" w:rsidRPr="0056724A">
        <w:rPr>
          <w:rFonts w:cs="Times New Roman"/>
        </w:rPr>
        <w:t xml:space="preserve"> outbreaks), and biotechnology (</w:t>
      </w:r>
      <w:r w:rsidR="00AA17F1" w:rsidRPr="0056724A">
        <w:rPr>
          <w:rFonts w:cs="Times New Roman"/>
          <w:i/>
        </w:rPr>
        <w:t>E.</w:t>
      </w:r>
      <w:r w:rsidR="00CB18A9" w:rsidRPr="0056724A">
        <w:rPr>
          <w:rFonts w:cs="Times New Roman"/>
          <w:i/>
        </w:rPr>
        <w:t xml:space="preserve"> </w:t>
      </w:r>
      <w:r w:rsidR="00AA17F1" w:rsidRPr="0056724A">
        <w:rPr>
          <w:rFonts w:cs="Times New Roman"/>
          <w:i/>
        </w:rPr>
        <w:t>coli</w:t>
      </w:r>
      <w:r w:rsidR="00AA17F1" w:rsidRPr="0056724A">
        <w:rPr>
          <w:rFonts w:cs="Times New Roman"/>
        </w:rPr>
        <w:t xml:space="preserve"> is a workhorse of genetic and protein engineering).  </w:t>
      </w:r>
      <w:r w:rsidR="00AA17F1" w:rsidRPr="0056724A">
        <w:rPr>
          <w:rFonts w:cs="Times New Roman"/>
          <w:i/>
        </w:rPr>
        <w:t xml:space="preserve">E. </w:t>
      </w:r>
      <w:proofErr w:type="gramStart"/>
      <w:r w:rsidR="00AA17F1" w:rsidRPr="0056724A">
        <w:rPr>
          <w:rFonts w:cs="Times New Roman"/>
          <w:i/>
        </w:rPr>
        <w:t>coli</w:t>
      </w:r>
      <w:proofErr w:type="gramEnd"/>
      <w:r w:rsidR="00AA17F1" w:rsidRPr="0056724A">
        <w:rPr>
          <w:rFonts w:cs="Times New Roman"/>
        </w:rPr>
        <w:t xml:space="preserve"> is small, ~ 1 </w:t>
      </w:r>
      <w:r w:rsidR="00873BB3">
        <w:rPr>
          <w:rFonts w:cs="Times New Roman"/>
        </w:rPr>
        <w:t>µ</w:t>
      </w:r>
      <w:r w:rsidR="00AA17F1" w:rsidRPr="0056724A">
        <w:rPr>
          <w:rFonts w:cs="Times New Roman"/>
        </w:rPr>
        <w:t xml:space="preserve">m across and ~ 2 to 4 </w:t>
      </w:r>
      <w:r w:rsidR="00873BB3">
        <w:rPr>
          <w:rFonts w:cs="Times New Roman"/>
        </w:rPr>
        <w:t>µ</w:t>
      </w:r>
      <w:r w:rsidR="00AA17F1" w:rsidRPr="0056724A">
        <w:rPr>
          <w:rFonts w:cs="Times New Roman"/>
        </w:rPr>
        <w:t>m in length (</w:t>
      </w:r>
      <w:r w:rsidR="00AA17F1" w:rsidRPr="0056724A">
        <w:rPr>
          <w:rFonts w:cs="Times New Roman"/>
        </w:rPr>
        <w:fldChar w:fldCharType="begin"/>
      </w:r>
      <w:r w:rsidR="00AA17F1" w:rsidRPr="0056724A">
        <w:rPr>
          <w:rFonts w:cs="Times New Roman"/>
        </w:rPr>
        <w:instrText xml:space="preserve"> REF _Ref177287245 \h </w:instrText>
      </w:r>
      <w:r w:rsidR="0056724A">
        <w:rPr>
          <w:rFonts w:cs="Times New Roman"/>
        </w:rPr>
        <w:instrText xml:space="preserve"> \* MERGEFORMAT </w:instrText>
      </w:r>
      <w:r w:rsidR="00AA17F1" w:rsidRPr="0056724A">
        <w:rPr>
          <w:rFonts w:cs="Times New Roman"/>
        </w:rPr>
      </w:r>
      <w:r w:rsidR="00AA17F1" w:rsidRPr="0056724A">
        <w:rPr>
          <w:rFonts w:cs="Times New Roman"/>
        </w:rPr>
        <w:fldChar w:fldCharType="separate"/>
      </w:r>
      <w:r w:rsidR="00F56459" w:rsidRPr="00F56459">
        <w:rPr>
          <w:rFonts w:cs="Times New Roman"/>
        </w:rPr>
        <w:t xml:space="preserve">Figure </w:t>
      </w:r>
      <w:r w:rsidR="00F56459" w:rsidRPr="00F56459">
        <w:rPr>
          <w:rFonts w:cs="Times New Roman"/>
          <w:noProof/>
        </w:rPr>
        <w:t>1</w:t>
      </w:r>
      <w:r w:rsidR="00AA17F1" w:rsidRPr="0056724A">
        <w:rPr>
          <w:rFonts w:cs="Times New Roman"/>
        </w:rPr>
        <w:fldChar w:fldCharType="end"/>
      </w:r>
      <w:r w:rsidR="00AA17F1" w:rsidRPr="0056724A">
        <w:rPr>
          <w:rFonts w:cs="Times New Roman"/>
        </w:rPr>
        <w:t>, right).  It uses flagella for swimmin</w:t>
      </w:r>
      <w:r w:rsidR="00CB18A9" w:rsidRPr="0056724A">
        <w:rPr>
          <w:rFonts w:cs="Times New Roman"/>
        </w:rPr>
        <w:t xml:space="preserve">g, which facilitates movement in response to chemical gradients, chemotaxis </w:t>
      </w:r>
      <w:r w:rsidR="00AA17F1" w:rsidRPr="0056724A">
        <w:rPr>
          <w:rFonts w:cs="Times New Roman"/>
        </w:rPr>
        <w:t>(</w:t>
      </w:r>
      <w:r w:rsidR="00AA17F1" w:rsidRPr="0056724A">
        <w:rPr>
          <w:rFonts w:cs="Times New Roman"/>
        </w:rPr>
        <w:fldChar w:fldCharType="begin"/>
      </w:r>
      <w:r w:rsidR="00AA17F1" w:rsidRPr="0056724A">
        <w:rPr>
          <w:rFonts w:cs="Times New Roman"/>
        </w:rPr>
        <w:instrText xml:space="preserve"> REF _Ref177287245 \h </w:instrText>
      </w:r>
      <w:r w:rsidR="0056724A">
        <w:rPr>
          <w:rFonts w:cs="Times New Roman"/>
        </w:rPr>
        <w:instrText xml:space="preserve"> \* MERGEFORMAT </w:instrText>
      </w:r>
      <w:r w:rsidR="00AA17F1" w:rsidRPr="0056724A">
        <w:rPr>
          <w:rFonts w:cs="Times New Roman"/>
        </w:rPr>
      </w:r>
      <w:r w:rsidR="00AA17F1" w:rsidRPr="0056724A">
        <w:rPr>
          <w:rFonts w:cs="Times New Roman"/>
        </w:rPr>
        <w:fldChar w:fldCharType="separate"/>
      </w:r>
      <w:r w:rsidR="00F56459" w:rsidRPr="00F56459">
        <w:rPr>
          <w:rFonts w:cs="Times New Roman"/>
        </w:rPr>
        <w:t xml:space="preserve">Figure </w:t>
      </w:r>
      <w:r w:rsidR="00F56459" w:rsidRPr="00F56459">
        <w:rPr>
          <w:rFonts w:cs="Times New Roman"/>
          <w:noProof/>
        </w:rPr>
        <w:t>1</w:t>
      </w:r>
      <w:r w:rsidR="00AA17F1" w:rsidRPr="0056724A">
        <w:rPr>
          <w:rFonts w:cs="Times New Roman"/>
        </w:rPr>
        <w:fldChar w:fldCharType="end"/>
      </w:r>
      <w:r w:rsidR="00AA17F1" w:rsidRPr="0056724A">
        <w:rPr>
          <w:rFonts w:cs="Times New Roman"/>
        </w:rPr>
        <w:t>, left).</w:t>
      </w:r>
    </w:p>
    <w:tbl>
      <w:tblPr>
        <w:tblStyle w:val="TableGrid"/>
        <w:tblW w:w="0" w:type="auto"/>
        <w:tblLayout w:type="fixed"/>
        <w:tblLook w:val="04A0" w:firstRow="1" w:lastRow="0" w:firstColumn="1" w:lastColumn="0" w:noHBand="0" w:noVBand="1"/>
      </w:tblPr>
      <w:tblGrid>
        <w:gridCol w:w="4428"/>
        <w:gridCol w:w="4428"/>
      </w:tblGrid>
      <w:tr w:rsidR="00AA17F1" w:rsidRPr="0056724A" w:rsidTr="00A86C28">
        <w:tc>
          <w:tcPr>
            <w:tcW w:w="4428" w:type="dxa"/>
          </w:tcPr>
          <w:p w:rsidR="00AA17F1" w:rsidRPr="0056724A" w:rsidRDefault="00AA17F1" w:rsidP="00A86C28">
            <w:pPr>
              <w:jc w:val="center"/>
            </w:pPr>
            <w:r w:rsidRPr="0056724A">
              <w:rPr>
                <w:noProof/>
              </w:rPr>
              <w:drawing>
                <wp:inline distT="0" distB="0" distL="0" distR="0" wp14:anchorId="78F1876A" wp14:editId="64E4D941">
                  <wp:extent cx="2013124" cy="3009900"/>
                  <wp:effectExtent l="0" t="0" r="6350" b="0"/>
                  <wp:docPr id="71" name="Picture 71" descr="ttp://upload.wikimedia.org/wikipedia/commons/4/4d/Ecoli_O157_trans_elect_micr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upload.wikimedia.org/wikipedia/commons/4/4d/Ecoli_O157_trans_elect_micro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919" cy="3023049"/>
                          </a:xfrm>
                          <a:prstGeom prst="rect">
                            <a:avLst/>
                          </a:prstGeom>
                          <a:noFill/>
                          <a:ln>
                            <a:noFill/>
                          </a:ln>
                        </pic:spPr>
                      </pic:pic>
                    </a:graphicData>
                  </a:graphic>
                </wp:inline>
              </w:drawing>
            </w:r>
          </w:p>
        </w:tc>
        <w:tc>
          <w:tcPr>
            <w:tcW w:w="4428" w:type="dxa"/>
          </w:tcPr>
          <w:p w:rsidR="00AA17F1" w:rsidRPr="0056724A" w:rsidRDefault="00AA17F1" w:rsidP="00A86C28">
            <w:pPr>
              <w:jc w:val="center"/>
            </w:pPr>
            <w:r w:rsidRPr="0056724A">
              <w:rPr>
                <w:noProof/>
              </w:rPr>
              <w:drawing>
                <wp:inline distT="0" distB="0" distL="0" distR="0" wp14:anchorId="3A6F743F" wp14:editId="60CB625C">
                  <wp:extent cx="2043390" cy="1720750"/>
                  <wp:effectExtent l="0" t="0" r="0" b="0"/>
                  <wp:docPr id="79" name="Picture 79" descr="EscherichiaColi_NI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scherichiaColi_NIA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721" cy="1726082"/>
                          </a:xfrm>
                          <a:prstGeom prst="rect">
                            <a:avLst/>
                          </a:prstGeom>
                          <a:noFill/>
                          <a:ln>
                            <a:noFill/>
                          </a:ln>
                        </pic:spPr>
                      </pic:pic>
                    </a:graphicData>
                  </a:graphic>
                </wp:inline>
              </w:drawing>
            </w:r>
          </w:p>
          <w:p w:rsidR="00AA17F1" w:rsidRPr="0056724A" w:rsidRDefault="00AA17F1" w:rsidP="00A86C28">
            <w:pPr>
              <w:pStyle w:val="Caption"/>
              <w:spacing w:after="0"/>
              <w:ind w:left="0" w:right="0"/>
              <w:jc w:val="left"/>
              <w:rPr>
                <w:b w:val="0"/>
                <w:sz w:val="18"/>
                <w:szCs w:val="18"/>
              </w:rPr>
            </w:pPr>
            <w:r w:rsidRPr="0056724A">
              <w:rPr>
                <w:i/>
                <w:sz w:val="18"/>
                <w:szCs w:val="18"/>
              </w:rPr>
              <w:t>Above</w:t>
            </w:r>
            <w:r w:rsidRPr="0056724A">
              <w:rPr>
                <w:b w:val="0"/>
                <w:i/>
                <w:sz w:val="18"/>
                <w:szCs w:val="18"/>
              </w:rPr>
              <w:t>:</w:t>
            </w:r>
            <w:r w:rsidRPr="0056724A">
              <w:rPr>
                <w:b w:val="0"/>
                <w:sz w:val="18"/>
                <w:szCs w:val="18"/>
              </w:rPr>
              <w:t xml:space="preserve"> A scanning electron micrograph of </w:t>
            </w:r>
            <w:r w:rsidRPr="0056724A">
              <w:rPr>
                <w:b w:val="0"/>
                <w:i/>
                <w:sz w:val="18"/>
                <w:szCs w:val="18"/>
              </w:rPr>
              <w:t>Escherichia coli</w:t>
            </w:r>
            <w:r w:rsidRPr="0056724A">
              <w:rPr>
                <w:b w:val="0"/>
                <w:sz w:val="18"/>
                <w:szCs w:val="18"/>
              </w:rPr>
              <w:t xml:space="preserve">, grown in culture and adhered to a cover slip (Rocky Mountain Laboratories, NIAID, NIH, </w:t>
            </w:r>
            <w:hyperlink r:id="rId11" w:history="1">
              <w:r w:rsidRPr="0056724A">
                <w:rPr>
                  <w:rStyle w:val="Hyperlink"/>
                  <w:b w:val="0"/>
                  <w:sz w:val="18"/>
                  <w:szCs w:val="18"/>
                </w:rPr>
                <w:t>http://en.wikipedia.org/wiki/File:EscherichiaColi_NIAID.jpg</w:t>
              </w:r>
            </w:hyperlink>
            <w:r w:rsidRPr="0056724A">
              <w:rPr>
                <w:b w:val="0"/>
                <w:sz w:val="18"/>
                <w:szCs w:val="18"/>
              </w:rPr>
              <w:t>, accessed 9/3/12).</w:t>
            </w:r>
          </w:p>
          <w:p w:rsidR="00AA17F1" w:rsidRPr="0056724A" w:rsidRDefault="00AA17F1" w:rsidP="00A86C28">
            <w:pPr>
              <w:pStyle w:val="Caption"/>
              <w:spacing w:after="0"/>
              <w:ind w:left="0" w:right="0"/>
              <w:jc w:val="left"/>
              <w:rPr>
                <w:sz w:val="18"/>
                <w:szCs w:val="18"/>
              </w:rPr>
            </w:pPr>
            <w:r w:rsidRPr="0056724A">
              <w:rPr>
                <w:i/>
                <w:sz w:val="18"/>
                <w:szCs w:val="18"/>
              </w:rPr>
              <w:t>Left</w:t>
            </w:r>
            <w:r w:rsidRPr="0056724A">
              <w:rPr>
                <w:sz w:val="18"/>
                <w:szCs w:val="18"/>
              </w:rPr>
              <w:t>:</w:t>
            </w:r>
            <w:r w:rsidRPr="0056724A">
              <w:rPr>
                <w:b w:val="0"/>
                <w:sz w:val="18"/>
                <w:szCs w:val="18"/>
              </w:rPr>
              <w:t xml:space="preserve"> Transmission electron micrograph of (a deflated) </w:t>
            </w:r>
            <w:r w:rsidRPr="0056724A">
              <w:rPr>
                <w:b w:val="0"/>
                <w:i/>
                <w:sz w:val="18"/>
                <w:szCs w:val="18"/>
              </w:rPr>
              <w:t>E. coli</w:t>
            </w:r>
            <w:r w:rsidRPr="0056724A">
              <w:rPr>
                <w:b w:val="0"/>
                <w:sz w:val="18"/>
                <w:szCs w:val="18"/>
              </w:rPr>
              <w:t xml:space="preserve"> stained to generate contrast.  The filaments are flagella.  (CDC, </w:t>
            </w:r>
            <w:hyperlink r:id="rId12" w:history="1">
              <w:r w:rsidRPr="0056724A">
                <w:rPr>
                  <w:rStyle w:val="Hyperlink"/>
                  <w:b w:val="0"/>
                  <w:sz w:val="18"/>
                  <w:szCs w:val="18"/>
                </w:rPr>
                <w:t>http://commons.wikimedia.org/wiki/File:Ecoli_O157_trans_elect_micrograph.jpg</w:t>
              </w:r>
            </w:hyperlink>
            <w:r w:rsidRPr="0056724A">
              <w:rPr>
                <w:b w:val="0"/>
                <w:sz w:val="18"/>
                <w:szCs w:val="18"/>
              </w:rPr>
              <w:t xml:space="preserve">, accessed 5/22/15).  </w:t>
            </w:r>
          </w:p>
        </w:tc>
      </w:tr>
    </w:tbl>
    <w:p w:rsidR="00AA17F1" w:rsidRPr="0056724A" w:rsidRDefault="00AA17F1" w:rsidP="00AA17F1">
      <w:pPr>
        <w:pStyle w:val="Caption"/>
        <w:jc w:val="center"/>
        <w:rPr>
          <w:b w:val="0"/>
        </w:rPr>
      </w:pPr>
      <w:bookmarkStart w:id="8" w:name="_Ref177287245"/>
      <w:r w:rsidRPr="0056724A">
        <w:lastRenderedPageBreak/>
        <w:t xml:space="preserve">Figure </w:t>
      </w:r>
      <w:r w:rsidR="00D7173A">
        <w:rPr>
          <w:noProof/>
        </w:rPr>
        <w:fldChar w:fldCharType="begin"/>
      </w:r>
      <w:r w:rsidR="00D7173A">
        <w:rPr>
          <w:noProof/>
        </w:rPr>
        <w:instrText xml:space="preserve"> SEQ Figure \* ARABIC </w:instrText>
      </w:r>
      <w:r w:rsidR="00D7173A">
        <w:rPr>
          <w:noProof/>
        </w:rPr>
        <w:fldChar w:fldCharType="separate"/>
      </w:r>
      <w:r w:rsidR="00F56459">
        <w:rPr>
          <w:noProof/>
        </w:rPr>
        <w:t>1</w:t>
      </w:r>
      <w:r w:rsidR="00D7173A">
        <w:rPr>
          <w:noProof/>
        </w:rPr>
        <w:fldChar w:fldCharType="end"/>
      </w:r>
      <w:bookmarkEnd w:id="8"/>
      <w:r w:rsidRPr="0056724A">
        <w:t xml:space="preserve">.  Electron microscope images of </w:t>
      </w:r>
      <w:r w:rsidRPr="0056724A">
        <w:rPr>
          <w:i/>
        </w:rPr>
        <w:t>Escherichia coli</w:t>
      </w:r>
      <w:r w:rsidRPr="0056724A">
        <w:rPr>
          <w:b w:val="0"/>
        </w:rPr>
        <w:t>.</w:t>
      </w:r>
    </w:p>
    <w:p w:rsidR="00AA17F1" w:rsidRPr="0056724A" w:rsidRDefault="00AA17F1" w:rsidP="00AA17F1">
      <w:pPr>
        <w:pStyle w:val="Heading3"/>
        <w:rPr>
          <w:rFonts w:ascii="Times New Roman" w:hAnsi="Times New Roman"/>
        </w:rPr>
      </w:pPr>
      <w:r w:rsidRPr="0056724A">
        <w:rPr>
          <w:rFonts w:ascii="Times New Roman" w:hAnsi="Times New Roman"/>
        </w:rPr>
        <w:t>Goals for the lab</w:t>
      </w:r>
      <w:bookmarkEnd w:id="5"/>
      <w:bookmarkEnd w:id="6"/>
      <w:bookmarkEnd w:id="7"/>
    </w:p>
    <w:p w:rsidR="00AA17F1" w:rsidRPr="0056724A" w:rsidRDefault="00AA17F1" w:rsidP="00AA17F1">
      <w:pPr>
        <w:keepNext/>
        <w:rPr>
          <w:rFonts w:cs="Times New Roman"/>
        </w:rPr>
      </w:pPr>
      <w:r w:rsidRPr="0056724A">
        <w:rPr>
          <w:rFonts w:cs="Times New Roman"/>
        </w:rPr>
        <w:t xml:space="preserve">Fundamental questions are addressed in this unit, as well as technical objectives.  These include: </w:t>
      </w:r>
    </w:p>
    <w:p w:rsidR="00AA17F1" w:rsidRPr="0056724A" w:rsidRDefault="00AA17F1" w:rsidP="00AA17F1">
      <w:pPr>
        <w:numPr>
          <w:ilvl w:val="0"/>
          <w:numId w:val="4"/>
        </w:numPr>
        <w:spacing w:after="120" w:line="240" w:lineRule="auto"/>
        <w:jc w:val="both"/>
        <w:rPr>
          <w:rFonts w:cs="Times New Roman"/>
        </w:rPr>
      </w:pPr>
      <w:r w:rsidRPr="0056724A">
        <w:rPr>
          <w:rFonts w:cs="Times New Roman"/>
        </w:rPr>
        <w:t xml:space="preserve">How fast do bacteria divide when given all the nutrients that are necessary for cell division?  </w:t>
      </w:r>
    </w:p>
    <w:p w:rsidR="00AA17F1" w:rsidRPr="0056724A" w:rsidRDefault="00AA17F1" w:rsidP="00AA17F1">
      <w:pPr>
        <w:numPr>
          <w:ilvl w:val="0"/>
          <w:numId w:val="4"/>
        </w:numPr>
        <w:spacing w:after="120" w:line="240" w:lineRule="auto"/>
        <w:jc w:val="both"/>
        <w:rPr>
          <w:rFonts w:cs="Times New Roman"/>
        </w:rPr>
      </w:pPr>
      <w:r w:rsidRPr="0056724A">
        <w:rPr>
          <w:rFonts w:cs="Times New Roman"/>
        </w:rPr>
        <w:t>What is the mode of growth and how does this mode influence the rate of cell division?</w:t>
      </w:r>
    </w:p>
    <w:p w:rsidR="00AA17F1" w:rsidRPr="0056724A" w:rsidRDefault="00AA17F1" w:rsidP="00AA17F1">
      <w:pPr>
        <w:numPr>
          <w:ilvl w:val="0"/>
          <w:numId w:val="4"/>
        </w:numPr>
        <w:spacing w:after="120" w:line="240" w:lineRule="auto"/>
        <w:jc w:val="both"/>
        <w:rPr>
          <w:rFonts w:cs="Times New Roman"/>
        </w:rPr>
      </w:pPr>
      <w:r w:rsidRPr="0056724A">
        <w:rPr>
          <w:rFonts w:cs="Times New Roman"/>
        </w:rPr>
        <w:t>What are the advantages and disadvantages of the three different methods for counting cells?</w:t>
      </w:r>
    </w:p>
    <w:p w:rsidR="00AA17F1" w:rsidRPr="0056724A" w:rsidRDefault="00AA17F1" w:rsidP="00AA17F1">
      <w:pPr>
        <w:rPr>
          <w:rFonts w:cs="Times New Roman"/>
        </w:rPr>
      </w:pPr>
      <w:r w:rsidRPr="0056724A">
        <w:rPr>
          <w:rFonts w:cs="Times New Roman"/>
        </w:rPr>
        <w:t>These objectives are addressed over the next two lab periods:</w:t>
      </w:r>
    </w:p>
    <w:p w:rsidR="00AA17F1" w:rsidRPr="0056724A" w:rsidRDefault="00AA17F1" w:rsidP="00AA17F1">
      <w:pPr>
        <w:pStyle w:val="Heading4"/>
        <w:rPr>
          <w:rFonts w:ascii="Times New Roman" w:hAnsi="Times New Roman" w:cs="Times New Roman"/>
        </w:rPr>
      </w:pPr>
      <w:r w:rsidRPr="0056724A">
        <w:rPr>
          <w:rFonts w:ascii="Times New Roman" w:hAnsi="Times New Roman" w:cs="Times New Roman"/>
        </w:rPr>
        <w:t xml:space="preserve">First Week (Lab </w:t>
      </w:r>
      <w:r w:rsidR="00873BB3">
        <w:rPr>
          <w:rFonts w:ascii="Times New Roman" w:hAnsi="Times New Roman" w:cs="Times New Roman"/>
        </w:rPr>
        <w:t>3</w:t>
      </w:r>
      <w:r w:rsidRPr="0056724A">
        <w:rPr>
          <w:rFonts w:ascii="Times New Roman" w:hAnsi="Times New Roman" w:cs="Times New Roman"/>
        </w:rPr>
        <w:t xml:space="preserve">.1): </w:t>
      </w:r>
    </w:p>
    <w:p w:rsidR="00AA17F1" w:rsidRPr="0056724A" w:rsidRDefault="00AA17F1" w:rsidP="00AA17F1">
      <w:pPr>
        <w:rPr>
          <w:rFonts w:cs="Times New Roman"/>
        </w:rPr>
      </w:pPr>
      <w:r w:rsidRPr="0056724A">
        <w:rPr>
          <w:rFonts w:cs="Times New Roman"/>
        </w:rPr>
        <w:t>Week one has the technical objective to introduce three methods for counting cells: (1) with phase-contrast microscopy, (2) in the plate reader, (3) by spreading diluted cultures on nutrient agar and counting the colonies that appear after incubation.</w:t>
      </w:r>
    </w:p>
    <w:p w:rsidR="00AA17F1" w:rsidRPr="0056724A" w:rsidRDefault="00AA17F1" w:rsidP="00AA17F1">
      <w:pPr>
        <w:pStyle w:val="Heading4"/>
        <w:rPr>
          <w:rFonts w:ascii="Times New Roman" w:hAnsi="Times New Roman" w:cs="Times New Roman"/>
        </w:rPr>
      </w:pPr>
      <w:r w:rsidRPr="0056724A">
        <w:rPr>
          <w:rFonts w:ascii="Times New Roman" w:hAnsi="Times New Roman" w:cs="Times New Roman"/>
        </w:rPr>
        <w:t xml:space="preserve">Second Week (Lab </w:t>
      </w:r>
      <w:r w:rsidR="00873BB3">
        <w:rPr>
          <w:rFonts w:ascii="Times New Roman" w:hAnsi="Times New Roman" w:cs="Times New Roman"/>
        </w:rPr>
        <w:t>3</w:t>
      </w:r>
      <w:r w:rsidRPr="0056724A">
        <w:rPr>
          <w:rFonts w:ascii="Times New Roman" w:hAnsi="Times New Roman" w:cs="Times New Roman"/>
        </w:rPr>
        <w:t xml:space="preserve">.2): </w:t>
      </w:r>
    </w:p>
    <w:p w:rsidR="00AA17F1" w:rsidRPr="0056724A" w:rsidRDefault="006D1948" w:rsidP="00AA17F1">
      <w:pPr>
        <w:rPr>
          <w:rFonts w:cs="Times New Roman"/>
        </w:rPr>
      </w:pPr>
      <w:r>
        <w:rPr>
          <w:rFonts w:cs="Times New Roman"/>
        </w:rPr>
        <w:t xml:space="preserve">You will use the conversion factors you calculated </w:t>
      </w:r>
      <w:r w:rsidR="00AA17F1" w:rsidRPr="0056724A">
        <w:rPr>
          <w:rFonts w:cs="Times New Roman"/>
        </w:rPr>
        <w:t>to measure the rate of cell growth under nutrient-rich conditions. How can these methods be used to assess the fundamental requirements for cell division?</w:t>
      </w:r>
    </w:p>
    <w:p w:rsidR="00AA17F1" w:rsidRPr="0056724A" w:rsidRDefault="0056724A" w:rsidP="00AA17F1">
      <w:pPr>
        <w:pStyle w:val="Heading3"/>
        <w:rPr>
          <w:rFonts w:ascii="Times New Roman" w:hAnsi="Times New Roman"/>
        </w:rPr>
      </w:pPr>
      <w:r w:rsidRPr="0056724A">
        <w:rPr>
          <w:rFonts w:ascii="Times New Roman" w:hAnsi="Times New Roman"/>
        </w:rPr>
        <w:t xml:space="preserve">What you should do before </w:t>
      </w:r>
      <w:r w:rsidR="008535A6">
        <w:rPr>
          <w:rFonts w:ascii="Times New Roman" w:hAnsi="Times New Roman"/>
        </w:rPr>
        <w:t xml:space="preserve">your </w:t>
      </w:r>
      <w:r w:rsidRPr="0056724A">
        <w:rPr>
          <w:rFonts w:ascii="Times New Roman" w:hAnsi="Times New Roman"/>
        </w:rPr>
        <w:t>lab</w:t>
      </w:r>
      <w:r w:rsidR="008535A6">
        <w:rPr>
          <w:rFonts w:ascii="Times New Roman" w:hAnsi="Times New Roman"/>
        </w:rPr>
        <w:t xml:space="preserve"> period</w:t>
      </w:r>
      <w:r w:rsidRPr="0056724A">
        <w:rPr>
          <w:rFonts w:ascii="Times New Roman" w:hAnsi="Times New Roman"/>
        </w:rPr>
        <w:t>:</w:t>
      </w:r>
    </w:p>
    <w:p w:rsidR="00AA17F1" w:rsidRPr="0056724A" w:rsidRDefault="00AA17F1" w:rsidP="00AA17F1">
      <w:pPr>
        <w:numPr>
          <w:ilvl w:val="0"/>
          <w:numId w:val="1"/>
        </w:numPr>
        <w:spacing w:after="120" w:line="240" w:lineRule="auto"/>
        <w:ind w:left="360"/>
        <w:jc w:val="both"/>
        <w:rPr>
          <w:rFonts w:cs="Times New Roman"/>
        </w:rPr>
      </w:pPr>
      <w:r w:rsidRPr="0056724A">
        <w:rPr>
          <w:rFonts w:cs="Times New Roman"/>
        </w:rPr>
        <w:t xml:space="preserve">Read about the disposable hemocytometer (page </w:t>
      </w:r>
      <w:r w:rsidRPr="0056724A">
        <w:rPr>
          <w:rFonts w:cs="Times New Roman"/>
        </w:rPr>
        <w:fldChar w:fldCharType="begin"/>
      </w:r>
      <w:r w:rsidRPr="0056724A">
        <w:rPr>
          <w:rFonts w:cs="Times New Roman"/>
        </w:rPr>
        <w:instrText xml:space="preserve"> PAGEREF _Ref208037603 \h </w:instrText>
      </w:r>
      <w:r w:rsidRPr="0056724A">
        <w:rPr>
          <w:rFonts w:cs="Times New Roman"/>
        </w:rPr>
      </w:r>
      <w:r w:rsidRPr="0056724A">
        <w:rPr>
          <w:rFonts w:cs="Times New Roman"/>
        </w:rPr>
        <w:fldChar w:fldCharType="separate"/>
      </w:r>
      <w:r w:rsidR="00F56459">
        <w:rPr>
          <w:rFonts w:cs="Times New Roman"/>
          <w:noProof/>
        </w:rPr>
        <w:t>10</w:t>
      </w:r>
      <w:r w:rsidRPr="0056724A">
        <w:rPr>
          <w:rFonts w:cs="Times New Roman"/>
        </w:rPr>
        <w:fldChar w:fldCharType="end"/>
      </w:r>
      <w:r w:rsidRPr="0056724A">
        <w:rPr>
          <w:rFonts w:cs="Times New Roman"/>
        </w:rPr>
        <w:t>).</w:t>
      </w:r>
    </w:p>
    <w:p w:rsidR="00AA17F1" w:rsidRDefault="00AA17F1" w:rsidP="00AA17F1">
      <w:pPr>
        <w:numPr>
          <w:ilvl w:val="0"/>
          <w:numId w:val="1"/>
        </w:numPr>
        <w:spacing w:after="120" w:line="240" w:lineRule="auto"/>
        <w:ind w:left="360"/>
        <w:jc w:val="both"/>
        <w:rPr>
          <w:rFonts w:cs="Times New Roman"/>
        </w:rPr>
      </w:pPr>
      <w:r w:rsidRPr="0056724A">
        <w:rPr>
          <w:rFonts w:cs="Times New Roman"/>
        </w:rPr>
        <w:t xml:space="preserve">Ponder lowly </w:t>
      </w:r>
      <w:r w:rsidRPr="0056724A">
        <w:rPr>
          <w:rFonts w:cs="Times New Roman"/>
          <w:i/>
        </w:rPr>
        <w:t>E. coli</w:t>
      </w:r>
      <w:r w:rsidRPr="0056724A">
        <w:rPr>
          <w:rFonts w:cs="Times New Roman"/>
        </w:rPr>
        <w:t xml:space="preserve"> and all that it must do to divide. (Do a web search?)</w:t>
      </w:r>
    </w:p>
    <w:p w:rsidR="00D10953" w:rsidRDefault="00C44283" w:rsidP="00AA17F1">
      <w:pPr>
        <w:numPr>
          <w:ilvl w:val="0"/>
          <w:numId w:val="1"/>
        </w:numPr>
        <w:spacing w:after="120" w:line="240" w:lineRule="auto"/>
        <w:ind w:left="360"/>
        <w:jc w:val="both"/>
        <w:rPr>
          <w:rFonts w:cs="Times New Roman"/>
        </w:rPr>
      </w:pPr>
      <w:r>
        <w:rPr>
          <w:rFonts w:cs="Times New Roman"/>
        </w:rPr>
        <w:t>Read the i</w:t>
      </w:r>
      <w:r w:rsidR="00D10953">
        <w:rPr>
          <w:rFonts w:cs="Times New Roman"/>
        </w:rPr>
        <w:t>ntroduction to the plate reader.</w:t>
      </w:r>
    </w:p>
    <w:p w:rsidR="00183939" w:rsidRPr="0056724A" w:rsidRDefault="00183939" w:rsidP="00AA17F1">
      <w:pPr>
        <w:numPr>
          <w:ilvl w:val="0"/>
          <w:numId w:val="1"/>
        </w:numPr>
        <w:spacing w:after="120" w:line="240" w:lineRule="auto"/>
        <w:ind w:left="360"/>
        <w:jc w:val="both"/>
        <w:rPr>
          <w:rFonts w:cs="Times New Roman"/>
        </w:rPr>
      </w:pPr>
      <w:r>
        <w:rPr>
          <w:rFonts w:cs="Times New Roman"/>
        </w:rPr>
        <w:t>Read “making a dilution series</w:t>
      </w:r>
      <w:r w:rsidR="001655E5">
        <w:rPr>
          <w:rFonts w:cs="Times New Roman"/>
        </w:rPr>
        <w:t>.”</w:t>
      </w:r>
    </w:p>
    <w:p w:rsidR="00D7553F" w:rsidRDefault="00D7553F">
      <w:pPr>
        <w:rPr>
          <w:rFonts w:eastAsia="Times New Roman" w:cs="Times New Roman"/>
          <w:b/>
          <w:i/>
          <w:sz w:val="36"/>
          <w:szCs w:val="28"/>
        </w:rPr>
      </w:pPr>
      <w:bookmarkStart w:id="9" w:name="_Ref115351993"/>
      <w:bookmarkStart w:id="10" w:name="_Ref115351998"/>
      <w:bookmarkStart w:id="11" w:name="_Ref115352006"/>
      <w:bookmarkStart w:id="12" w:name="_Toc245716485"/>
      <w:bookmarkStart w:id="13" w:name="_Toc129237463"/>
      <w:bookmarkStart w:id="14" w:name="_Toc177285324"/>
      <w:bookmarkStart w:id="15" w:name="_Toc177382510"/>
      <w:bookmarkStart w:id="16" w:name="_Toc177633007"/>
      <w:bookmarkStart w:id="17" w:name="_Toc177635987"/>
      <w:bookmarkStart w:id="18" w:name="_Ref177712991"/>
      <w:bookmarkStart w:id="19" w:name="_Ref177712997"/>
      <w:bookmarkStart w:id="20" w:name="_Ref208483157"/>
      <w:bookmarkStart w:id="21" w:name="_Toc298503543"/>
      <w:r>
        <w:br w:type="page"/>
      </w:r>
    </w:p>
    <w:p w:rsidR="00AA17F1" w:rsidRPr="0056724A" w:rsidRDefault="00411F91" w:rsidP="00AA17F1">
      <w:pPr>
        <w:pStyle w:val="Heading2"/>
        <w:rPr>
          <w:rFonts w:ascii="Times New Roman" w:hAnsi="Times New Roman"/>
        </w:rPr>
      </w:pPr>
      <w:r>
        <w:rPr>
          <w:rFonts w:ascii="Times New Roman" w:hAnsi="Times New Roman"/>
        </w:rPr>
        <w:lastRenderedPageBreak/>
        <w:t>Lab 3</w:t>
      </w:r>
      <w:r w:rsidR="00AA17F1" w:rsidRPr="0056724A">
        <w:rPr>
          <w:rFonts w:ascii="Times New Roman" w:hAnsi="Times New Roman"/>
        </w:rPr>
        <w:t xml:space="preserve">.1:  </w:t>
      </w:r>
      <w:bookmarkEnd w:id="9"/>
      <w:bookmarkEnd w:id="10"/>
      <w:bookmarkEnd w:id="11"/>
      <w:bookmarkEnd w:id="12"/>
      <w:bookmarkEnd w:id="13"/>
      <w:r w:rsidR="00AA17F1" w:rsidRPr="0056724A">
        <w:rPr>
          <w:rFonts w:ascii="Times New Roman" w:hAnsi="Times New Roman"/>
        </w:rPr>
        <w:t>Viewing and Counting Bacteria</w:t>
      </w:r>
      <w:bookmarkEnd w:id="14"/>
      <w:bookmarkEnd w:id="15"/>
      <w:bookmarkEnd w:id="16"/>
      <w:bookmarkEnd w:id="17"/>
      <w:bookmarkEnd w:id="18"/>
      <w:bookmarkEnd w:id="19"/>
      <w:bookmarkEnd w:id="20"/>
      <w:bookmarkEnd w:id="21"/>
    </w:p>
    <w:p w:rsidR="00AA17F1" w:rsidRPr="0056724A" w:rsidRDefault="00AA17F1" w:rsidP="00AA17F1">
      <w:pPr>
        <w:jc w:val="center"/>
        <w:rPr>
          <w:rFonts w:cs="Times New Roman"/>
          <w:b/>
          <w:i/>
        </w:rPr>
      </w:pPr>
      <w:r w:rsidRPr="0056724A">
        <w:rPr>
          <w:rFonts w:cs="Times New Roman"/>
          <w:b/>
          <w:i/>
        </w:rPr>
        <w:t>How dense is the starting culture?</w:t>
      </w:r>
    </w:p>
    <w:p w:rsidR="00AA17F1" w:rsidRPr="0056724A" w:rsidRDefault="00AA17F1" w:rsidP="00AA17F1">
      <w:pPr>
        <w:pStyle w:val="Heading3"/>
        <w:rPr>
          <w:rFonts w:ascii="Times New Roman" w:hAnsi="Times New Roman"/>
        </w:rPr>
      </w:pPr>
      <w:bookmarkStart w:id="22" w:name="_Toc177285416"/>
      <w:bookmarkStart w:id="23" w:name="_Toc177382511"/>
      <w:bookmarkStart w:id="24" w:name="_Toc177633430"/>
      <w:bookmarkStart w:id="25" w:name="_Toc177634068"/>
      <w:bookmarkStart w:id="26" w:name="_Toc177635988"/>
      <w:r w:rsidRPr="0056724A">
        <w:rPr>
          <w:rFonts w:ascii="Times New Roman" w:hAnsi="Times New Roman"/>
        </w:rPr>
        <w:t xml:space="preserve">The </w:t>
      </w:r>
      <w:r w:rsidR="008535A6">
        <w:rPr>
          <w:rFonts w:ascii="Times New Roman" w:hAnsi="Times New Roman"/>
        </w:rPr>
        <w:t>plate reader</w:t>
      </w:r>
      <w:r w:rsidRPr="0056724A">
        <w:rPr>
          <w:rFonts w:ascii="Times New Roman" w:hAnsi="Times New Roman"/>
        </w:rPr>
        <w:t xml:space="preserve">:  </w:t>
      </w:r>
      <w:bookmarkEnd w:id="22"/>
      <w:bookmarkEnd w:id="23"/>
      <w:bookmarkEnd w:id="24"/>
      <w:bookmarkEnd w:id="25"/>
      <w:bookmarkEnd w:id="26"/>
    </w:p>
    <w:p w:rsidR="00B94E40" w:rsidRPr="0056724A" w:rsidRDefault="00AA17F1" w:rsidP="00AA17F1">
      <w:pPr>
        <w:keepLines/>
        <w:rPr>
          <w:rFonts w:cs="Times New Roman"/>
        </w:rPr>
      </w:pPr>
      <w:r w:rsidRPr="0056724A">
        <w:rPr>
          <w:rFonts w:cs="Times New Roman"/>
        </w:rPr>
        <w:t>In Unit 1 we used three pieces of equipment (</w:t>
      </w:r>
      <w:proofErr w:type="spellStart"/>
      <w:r w:rsidRPr="0056724A">
        <w:rPr>
          <w:rFonts w:cs="Times New Roman"/>
        </w:rPr>
        <w:t>micropipettors</w:t>
      </w:r>
      <w:proofErr w:type="spellEnd"/>
      <w:r w:rsidRPr="0056724A">
        <w:rPr>
          <w:rFonts w:cs="Times New Roman"/>
        </w:rPr>
        <w:t xml:space="preserve">, </w:t>
      </w:r>
      <w:proofErr w:type="spellStart"/>
      <w:r w:rsidR="008535A6">
        <w:rPr>
          <w:rFonts w:cs="Times New Roman"/>
        </w:rPr>
        <w:t>microsocopes</w:t>
      </w:r>
      <w:proofErr w:type="spellEnd"/>
      <w:r w:rsidRPr="0056724A">
        <w:rPr>
          <w:rFonts w:cs="Times New Roman"/>
        </w:rPr>
        <w:t>,</w:t>
      </w:r>
      <w:r w:rsidR="008535A6">
        <w:rPr>
          <w:rFonts w:cs="Times New Roman"/>
        </w:rPr>
        <w:t xml:space="preserve"> and</w:t>
      </w:r>
      <w:r w:rsidRPr="0056724A">
        <w:rPr>
          <w:rFonts w:cs="Times New Roman"/>
        </w:rPr>
        <w:t xml:space="preserve"> computers) to quantify </w:t>
      </w:r>
      <w:r w:rsidR="008535A6">
        <w:rPr>
          <w:rFonts w:cs="Times New Roman"/>
        </w:rPr>
        <w:t>pollen tube growth</w:t>
      </w:r>
      <w:r w:rsidRPr="0056724A">
        <w:rPr>
          <w:rFonts w:cs="Times New Roman"/>
        </w:rPr>
        <w:t xml:space="preserve">.  In this unit, you will quantify bacteria with </w:t>
      </w:r>
      <w:r w:rsidR="008535A6">
        <w:rPr>
          <w:rFonts w:cs="Times New Roman"/>
        </w:rPr>
        <w:t>a new piece of equipment: the</w:t>
      </w:r>
      <w:r w:rsidRPr="0056724A">
        <w:rPr>
          <w:rFonts w:cs="Times New Roman"/>
        </w:rPr>
        <w:t xml:space="preserve"> plate reader</w:t>
      </w:r>
      <w:r w:rsidR="008535A6">
        <w:rPr>
          <w:rFonts w:cs="Times New Roman"/>
        </w:rPr>
        <w:t xml:space="preserve">. </w:t>
      </w:r>
      <w:r w:rsidR="0097563E">
        <w:rPr>
          <w:rFonts w:cs="Times New Roman"/>
        </w:rPr>
        <w:t xml:space="preserve"> Before lab you should become familiar with how a plate reader works by reading the document entitled “Introduction to the plate reader.”  </w:t>
      </w:r>
      <w:r w:rsidR="008535A6">
        <w:rPr>
          <w:rFonts w:cs="Times New Roman"/>
        </w:rPr>
        <w:t xml:space="preserve">You will </w:t>
      </w:r>
      <w:r w:rsidRPr="0056724A">
        <w:rPr>
          <w:rFonts w:cs="Times New Roman"/>
        </w:rPr>
        <w:t>also count bacteria directly using micros</w:t>
      </w:r>
      <w:r w:rsidR="008535A6">
        <w:rPr>
          <w:rFonts w:cs="Times New Roman"/>
        </w:rPr>
        <w:t xml:space="preserve">copy. </w:t>
      </w:r>
    </w:p>
    <w:p w:rsidR="00AA17F1" w:rsidRPr="0056724A" w:rsidRDefault="00AA17F1" w:rsidP="00AA17F1">
      <w:pPr>
        <w:pStyle w:val="Heading3"/>
        <w:rPr>
          <w:rFonts w:ascii="Times New Roman" w:hAnsi="Times New Roman"/>
        </w:rPr>
      </w:pPr>
      <w:bookmarkStart w:id="27" w:name="_Toc113354361"/>
      <w:bookmarkStart w:id="28" w:name="_Toc177285417"/>
      <w:bookmarkStart w:id="29" w:name="_Toc177382512"/>
      <w:bookmarkStart w:id="30" w:name="_Toc177633431"/>
      <w:bookmarkStart w:id="31" w:name="_Toc177634069"/>
      <w:bookmarkStart w:id="32" w:name="_Toc177635989"/>
      <w:r w:rsidRPr="0056724A">
        <w:rPr>
          <w:rFonts w:ascii="Times New Roman" w:hAnsi="Times New Roman"/>
        </w:rPr>
        <w:t>Materials</w:t>
      </w:r>
      <w:bookmarkEnd w:id="27"/>
      <w:bookmarkEnd w:id="28"/>
      <w:bookmarkEnd w:id="29"/>
      <w:bookmarkEnd w:id="30"/>
      <w:bookmarkEnd w:id="31"/>
      <w:bookmarkEnd w:id="32"/>
    </w:p>
    <w:p w:rsidR="00AA17F1" w:rsidRPr="0056724A" w:rsidRDefault="00AA17F1" w:rsidP="00222247">
      <w:pPr>
        <w:ind w:left="720"/>
        <w:rPr>
          <w:rFonts w:cs="Times New Roman"/>
        </w:rPr>
      </w:pPr>
      <w:r w:rsidRPr="0056724A">
        <w:rPr>
          <w:rFonts w:cs="Times New Roman"/>
          <w:b/>
          <w:i/>
        </w:rPr>
        <w:t>E. coli</w:t>
      </w:r>
      <w:r w:rsidRPr="0056724A">
        <w:rPr>
          <w:rFonts w:cs="Times New Roman"/>
          <w:b/>
        </w:rPr>
        <w:t xml:space="preserve"> cultures</w:t>
      </w:r>
      <w:r w:rsidRPr="0056724A">
        <w:rPr>
          <w:rFonts w:cs="Times New Roman"/>
        </w:rPr>
        <w:t xml:space="preserve">.  Tubes containing stationary phase </w:t>
      </w:r>
      <w:r w:rsidRPr="0056724A">
        <w:rPr>
          <w:rFonts w:cs="Times New Roman"/>
          <w:i/>
        </w:rPr>
        <w:t>E. coli</w:t>
      </w:r>
      <w:r w:rsidRPr="0056724A">
        <w:rPr>
          <w:rFonts w:cs="Times New Roman"/>
        </w:rPr>
        <w:t xml:space="preserve"> are in the refrigerator.  Your team will withdraw samples from these flasks to make your observations.  Keep them cold to prevent cell division.</w:t>
      </w:r>
    </w:p>
    <w:p w:rsidR="00AA17F1" w:rsidRPr="0056724A" w:rsidRDefault="00AA17F1" w:rsidP="00222247">
      <w:pPr>
        <w:ind w:left="720"/>
        <w:rPr>
          <w:rFonts w:cs="Times New Roman"/>
          <w:b/>
        </w:rPr>
      </w:pPr>
      <w:r w:rsidRPr="0056724A">
        <w:rPr>
          <w:rFonts w:cs="Times New Roman"/>
          <w:b/>
        </w:rPr>
        <w:t>Pipette Tips.</w:t>
      </w:r>
    </w:p>
    <w:p w:rsidR="00AA17F1" w:rsidRPr="0056724A" w:rsidRDefault="00AA17F1" w:rsidP="00222247">
      <w:pPr>
        <w:ind w:left="720"/>
        <w:rPr>
          <w:rFonts w:cs="Times New Roman"/>
        </w:rPr>
      </w:pPr>
      <w:r w:rsidRPr="0056724A">
        <w:rPr>
          <w:rFonts w:cs="Times New Roman"/>
          <w:b/>
        </w:rPr>
        <w:t>Luria-Bertani (LB) growth medium.</w:t>
      </w:r>
      <w:r w:rsidRPr="0056724A">
        <w:rPr>
          <w:rFonts w:cs="Times New Roman"/>
        </w:rPr>
        <w:t xml:space="preserve">  LB is a complete growth medium made from tryptone (trypsin-digested milk protein) for amino acids, yeast extract for carbohydrates and vitamins, and NaCl.  It will also be used as a diluent and a spectrometer blank.  Keep it cold to prevent cells from dividing until you want them to.</w:t>
      </w:r>
    </w:p>
    <w:p w:rsidR="00AA17F1" w:rsidRPr="0056724A" w:rsidRDefault="00AA17F1" w:rsidP="00222247">
      <w:pPr>
        <w:ind w:left="720"/>
        <w:rPr>
          <w:rFonts w:cs="Times New Roman"/>
        </w:rPr>
      </w:pPr>
      <w:r w:rsidRPr="0056724A">
        <w:rPr>
          <w:rFonts w:cs="Times New Roman"/>
          <w:b/>
        </w:rPr>
        <w:t>Disposable hemocytometers</w:t>
      </w:r>
      <w:r w:rsidRPr="0056724A">
        <w:rPr>
          <w:rFonts w:cs="Times New Roman"/>
          <w:i/>
        </w:rPr>
        <w:t xml:space="preserve"> </w:t>
      </w:r>
      <w:r w:rsidRPr="0056724A">
        <w:rPr>
          <w:rFonts w:cs="Times New Roman"/>
        </w:rPr>
        <w:t>are cell-counting chambers that have calibrated volumes (the name derives from the fact that they are used to count blood cells).  Hemocytometers allow you to determine the concentration of cells in solution under the microscope.</w:t>
      </w:r>
    </w:p>
    <w:p w:rsidR="00AA17F1" w:rsidRPr="0056724A" w:rsidRDefault="00AA17F1" w:rsidP="00222247">
      <w:pPr>
        <w:ind w:left="720"/>
        <w:rPr>
          <w:rFonts w:cs="Times New Roman"/>
        </w:rPr>
      </w:pPr>
      <w:r w:rsidRPr="0056724A">
        <w:rPr>
          <w:rFonts w:cs="Times New Roman"/>
          <w:b/>
        </w:rPr>
        <w:t>96 well plate</w:t>
      </w:r>
      <w:r w:rsidRPr="0056724A">
        <w:rPr>
          <w:rFonts w:cs="Times New Roman"/>
        </w:rPr>
        <w:t>.  To measure the optical density (OD) of cell cultures.</w:t>
      </w:r>
    </w:p>
    <w:p w:rsidR="00AA17F1" w:rsidRPr="0056724A" w:rsidRDefault="00AA17F1" w:rsidP="00222247">
      <w:pPr>
        <w:keepLines/>
        <w:ind w:left="720"/>
        <w:rPr>
          <w:rFonts w:cs="Times New Roman"/>
        </w:rPr>
      </w:pPr>
      <w:r w:rsidRPr="0056724A">
        <w:rPr>
          <w:rFonts w:cs="Times New Roman"/>
          <w:b/>
        </w:rPr>
        <w:t>LB-agar petri dishes and glass bead spreaders</w:t>
      </w:r>
      <w:r w:rsidRPr="0056724A">
        <w:rPr>
          <w:rFonts w:cs="Times New Roman"/>
        </w:rPr>
        <w:t>.  Petri dishes, ~10 cm in diameter, are filled with 30 mL of LB-agar.  LB-agar hardens as it cools after heat sterilization, into a stiff Jell-O (97% LB, 3% agar by weight).  The spongy substrate is used to grow visible colonies of bacteria from single cells in an incubator overnight.</w:t>
      </w:r>
    </w:p>
    <w:p w:rsidR="00AA17F1" w:rsidRPr="0056724A" w:rsidRDefault="00AA17F1" w:rsidP="00AA17F1">
      <w:pPr>
        <w:pStyle w:val="Heading3"/>
        <w:rPr>
          <w:rFonts w:ascii="Times New Roman" w:hAnsi="Times New Roman"/>
        </w:rPr>
      </w:pPr>
      <w:bookmarkStart w:id="33" w:name="_Toc177285418"/>
      <w:bookmarkStart w:id="34" w:name="_Toc177382513"/>
      <w:bookmarkStart w:id="35" w:name="_Toc177633432"/>
      <w:bookmarkStart w:id="36" w:name="_Toc177634070"/>
      <w:bookmarkStart w:id="37" w:name="_Toc177635990"/>
      <w:r w:rsidRPr="0056724A">
        <w:rPr>
          <w:rFonts w:ascii="Times New Roman" w:hAnsi="Times New Roman"/>
        </w:rPr>
        <w:t>Cell counting techniques</w:t>
      </w:r>
      <w:bookmarkEnd w:id="33"/>
      <w:bookmarkEnd w:id="34"/>
      <w:bookmarkEnd w:id="35"/>
      <w:bookmarkEnd w:id="36"/>
      <w:bookmarkEnd w:id="37"/>
    </w:p>
    <w:p w:rsidR="00AA17F1" w:rsidRPr="0056724A" w:rsidRDefault="00AA17F1" w:rsidP="00AA17F1">
      <w:pPr>
        <w:keepLines/>
        <w:rPr>
          <w:rFonts w:eastAsia="Cambria" w:cs="Times New Roman"/>
        </w:rPr>
      </w:pPr>
      <w:r w:rsidRPr="0056724A">
        <w:rPr>
          <w:rFonts w:cs="Times New Roman"/>
        </w:rPr>
        <w:t xml:space="preserve">The </w:t>
      </w:r>
      <w:r w:rsidRPr="0056724A">
        <w:rPr>
          <w:rFonts w:eastAsia="Cambria" w:cs="Times New Roman"/>
          <w:i/>
        </w:rPr>
        <w:t>technical objective</w:t>
      </w:r>
      <w:r w:rsidRPr="0056724A">
        <w:rPr>
          <w:rFonts w:cs="Times New Roman"/>
        </w:rPr>
        <w:t xml:space="preserve"> this week is to learn and compare different means for measuring the cell concentration (cells/mL).  Some are more convenient than others; each method makes different assumptions.  We will measure cell density by three techniques:</w:t>
      </w:r>
      <w:r w:rsidRPr="0056724A">
        <w:rPr>
          <w:rFonts w:eastAsia="Cambria" w:cs="Times New Roman"/>
        </w:rPr>
        <w:t xml:space="preserve"> (1) OD measurements in the plate reader, counting (2) cells in a hemocytometer and (3) colonies on an LB-agar plate.</w:t>
      </w:r>
    </w:p>
    <w:p w:rsidR="00222247" w:rsidRDefault="00222247">
      <w:pPr>
        <w:rPr>
          <w:rFonts w:eastAsia="Times New Roman" w:cs="Times New Roman"/>
          <w:b/>
          <w:sz w:val="28"/>
          <w:szCs w:val="26"/>
        </w:rPr>
      </w:pPr>
      <w:bookmarkStart w:id="38" w:name="_Toc177285419"/>
      <w:bookmarkStart w:id="39" w:name="_Toc177382514"/>
      <w:bookmarkStart w:id="40" w:name="_Toc177633433"/>
      <w:bookmarkStart w:id="41" w:name="_Toc177634071"/>
      <w:bookmarkStart w:id="42" w:name="_Toc177635991"/>
      <w:r>
        <w:br w:type="page"/>
      </w:r>
    </w:p>
    <w:p w:rsidR="00AA17F1" w:rsidRPr="0056724A" w:rsidRDefault="00AA17F1" w:rsidP="00AA17F1">
      <w:pPr>
        <w:pStyle w:val="Heading3"/>
        <w:rPr>
          <w:rFonts w:ascii="Times New Roman" w:hAnsi="Times New Roman"/>
        </w:rPr>
      </w:pPr>
      <w:r w:rsidRPr="0056724A">
        <w:rPr>
          <w:rFonts w:ascii="Times New Roman" w:hAnsi="Times New Roman"/>
        </w:rPr>
        <w:lastRenderedPageBreak/>
        <w:t>Procedures</w:t>
      </w:r>
      <w:bookmarkEnd w:id="38"/>
      <w:bookmarkEnd w:id="39"/>
      <w:bookmarkEnd w:id="40"/>
      <w:bookmarkEnd w:id="41"/>
      <w:bookmarkEnd w:id="42"/>
    </w:p>
    <w:p w:rsidR="00AA17F1" w:rsidRPr="0056724A" w:rsidRDefault="00AA17F1" w:rsidP="00AA17F1">
      <w:pPr>
        <w:pStyle w:val="Heading4"/>
        <w:rPr>
          <w:rFonts w:ascii="Times New Roman" w:hAnsi="Times New Roman" w:cs="Times New Roman"/>
        </w:rPr>
      </w:pPr>
      <w:bookmarkStart w:id="43" w:name="_Ref208307464"/>
      <w:r w:rsidRPr="0056724A">
        <w:rPr>
          <w:rFonts w:ascii="Times New Roman" w:hAnsi="Times New Roman" w:cs="Times New Roman"/>
        </w:rPr>
        <w:t>Get cell cultures.</w:t>
      </w:r>
      <w:bookmarkEnd w:id="43"/>
    </w:p>
    <w:p w:rsidR="00AA17F1" w:rsidRPr="0056724A" w:rsidRDefault="00AA17F1" w:rsidP="00AA17F1">
      <w:pPr>
        <w:pStyle w:val="ListParagraph"/>
        <w:ind w:left="0"/>
      </w:pPr>
      <w:r w:rsidRPr="0056724A">
        <w:t xml:space="preserve">Take a tube of cells from the refrigerator and carry it </w:t>
      </w:r>
      <w:r w:rsidRPr="0056724A">
        <w:rPr>
          <w:b/>
          <w:i/>
        </w:rPr>
        <w:t>on ice</w:t>
      </w:r>
      <w:r w:rsidRPr="0056724A">
        <w:t xml:space="preserve"> to your bench.</w:t>
      </w:r>
    </w:p>
    <w:p w:rsidR="00AA17F1" w:rsidRPr="0056724A" w:rsidRDefault="00AA17F1" w:rsidP="00AA17F1">
      <w:pPr>
        <w:pStyle w:val="Heading4"/>
        <w:rPr>
          <w:rFonts w:ascii="Times New Roman" w:hAnsi="Times New Roman" w:cs="Times New Roman"/>
        </w:rPr>
      </w:pPr>
      <w:r w:rsidRPr="0056724A">
        <w:rPr>
          <w:rFonts w:ascii="Times New Roman" w:hAnsi="Times New Roman" w:cs="Times New Roman"/>
        </w:rPr>
        <w:t>Make 2 dilution series.</w:t>
      </w:r>
    </w:p>
    <w:p w:rsidR="00AA17F1" w:rsidRPr="0056724A" w:rsidRDefault="00AA17F1" w:rsidP="00AA17F1">
      <w:pPr>
        <w:rPr>
          <w:rFonts w:cs="Times New Roman"/>
        </w:rPr>
      </w:pPr>
      <w:r w:rsidRPr="0056724A">
        <w:rPr>
          <w:rFonts w:cs="Times New Roman"/>
        </w:rPr>
        <w:t xml:space="preserve">(From practical experience, it has been found, sadly, that the culture </w:t>
      </w:r>
      <w:r w:rsidR="00C44283" w:rsidRPr="0056724A">
        <w:rPr>
          <w:rFonts w:cs="Times New Roman"/>
        </w:rPr>
        <w:t>must</w:t>
      </w:r>
      <w:r w:rsidRPr="0056724A">
        <w:rPr>
          <w:rFonts w:cs="Times New Roman"/>
        </w:rPr>
        <w:t xml:space="preserve"> be diluted much more for plating on agar than for reading in a plate reader.  That’s why we need two dilution series.)</w:t>
      </w:r>
    </w:p>
    <w:p w:rsidR="00AA17F1" w:rsidRPr="0056724A" w:rsidRDefault="00AA17F1" w:rsidP="00AA17F1">
      <w:pPr>
        <w:rPr>
          <w:rFonts w:cs="Times New Roman"/>
        </w:rPr>
      </w:pPr>
      <w:r w:rsidRPr="0056724A">
        <w:rPr>
          <w:rFonts w:cs="Times New Roman"/>
        </w:rPr>
        <w:t>Use cold LB and keep all tubes on ice at all times.  Label 2 sets of tubes: 1A-10A and 1B-10B.</w:t>
      </w:r>
    </w:p>
    <w:p w:rsidR="00AA17F1" w:rsidRPr="0056724A" w:rsidRDefault="00AA17F1" w:rsidP="00AA17F1">
      <w:pPr>
        <w:pStyle w:val="Heading5"/>
        <w:rPr>
          <w:rFonts w:ascii="Times New Roman" w:hAnsi="Times New Roman"/>
        </w:rPr>
      </w:pPr>
      <w:r w:rsidRPr="0056724A">
        <w:rPr>
          <w:rFonts w:ascii="Times New Roman" w:hAnsi="Times New Roman"/>
        </w:rPr>
        <w:t>A.  2-fold dilution series:</w:t>
      </w:r>
    </w:p>
    <w:p w:rsidR="00AA17F1" w:rsidRPr="0056724A" w:rsidRDefault="00AA17F1" w:rsidP="00AA17F1">
      <w:pPr>
        <w:pStyle w:val="ListParagraph"/>
        <w:numPr>
          <w:ilvl w:val="0"/>
          <w:numId w:val="5"/>
        </w:numPr>
        <w:contextualSpacing w:val="0"/>
      </w:pPr>
      <w:r w:rsidRPr="0056724A">
        <w:t xml:space="preserve">Put </w:t>
      </w:r>
      <w:r w:rsidR="000C174C">
        <w:t xml:space="preserve">0.5 mL of cold LB into each of </w:t>
      </w:r>
      <w:r w:rsidRPr="0056724A">
        <w:t>9 tubes (labeled 2A-10A), and put them on ice.</w:t>
      </w:r>
    </w:p>
    <w:p w:rsidR="00AA17F1" w:rsidRPr="0056724A" w:rsidRDefault="00AA17F1" w:rsidP="00AA17F1">
      <w:pPr>
        <w:pStyle w:val="ListParagraph"/>
        <w:numPr>
          <w:ilvl w:val="0"/>
          <w:numId w:val="5"/>
        </w:numPr>
        <w:contextualSpacing w:val="0"/>
      </w:pPr>
      <w:r w:rsidRPr="0056724A">
        <w:t xml:space="preserve">Put 1 mL of cold cell culture </w:t>
      </w:r>
      <w:r w:rsidR="006519A3">
        <w:t>in</w:t>
      </w:r>
      <w:r w:rsidRPr="0056724A">
        <w:t>to a tube (tube 1A) and place on ice.</w:t>
      </w:r>
    </w:p>
    <w:p w:rsidR="00AA17F1" w:rsidRPr="0056724A" w:rsidRDefault="00AA17F1" w:rsidP="00AA17F1">
      <w:pPr>
        <w:pStyle w:val="ListParagraph"/>
        <w:numPr>
          <w:ilvl w:val="0"/>
          <w:numId w:val="5"/>
        </w:numPr>
        <w:contextualSpacing w:val="0"/>
      </w:pPr>
      <w:r w:rsidRPr="0056724A">
        <w:t>Transfer 0.5 mL from tube 1A to tube 2A.  Mix gently.</w:t>
      </w:r>
    </w:p>
    <w:p w:rsidR="00AA17F1" w:rsidRPr="0056724A" w:rsidRDefault="00AA17F1" w:rsidP="00AA17F1">
      <w:pPr>
        <w:pStyle w:val="ListParagraph"/>
        <w:numPr>
          <w:ilvl w:val="0"/>
          <w:numId w:val="5"/>
        </w:numPr>
        <w:contextualSpacing w:val="0"/>
      </w:pPr>
      <w:r w:rsidRPr="0056724A">
        <w:t>Repeat for the rest of the tubes in the series.  Keep tubes on ice.</w:t>
      </w:r>
    </w:p>
    <w:p w:rsidR="00AA17F1" w:rsidRPr="0056724A" w:rsidRDefault="00AA17F1" w:rsidP="00AA17F1">
      <w:pPr>
        <w:pStyle w:val="Heading5"/>
        <w:rPr>
          <w:rFonts w:ascii="Times New Roman" w:hAnsi="Times New Roman"/>
        </w:rPr>
      </w:pPr>
      <w:r w:rsidRPr="0056724A">
        <w:rPr>
          <w:rFonts w:ascii="Times New Roman" w:hAnsi="Times New Roman"/>
        </w:rPr>
        <w:t>B.  10-fold dilution series</w:t>
      </w:r>
    </w:p>
    <w:p w:rsidR="00AA17F1" w:rsidRPr="0056724A" w:rsidRDefault="00AA17F1" w:rsidP="00AA17F1">
      <w:pPr>
        <w:pStyle w:val="ListParagraph"/>
        <w:numPr>
          <w:ilvl w:val="0"/>
          <w:numId w:val="5"/>
        </w:numPr>
        <w:contextualSpacing w:val="0"/>
      </w:pPr>
      <w:r w:rsidRPr="0056724A">
        <w:t>Put 0.9 mL of cold LB into each of 9 (labeled 2B – 10B) tubes, and put them on ice.</w:t>
      </w:r>
    </w:p>
    <w:p w:rsidR="00AA17F1" w:rsidRPr="0056724A" w:rsidRDefault="00AA17F1" w:rsidP="00AA17F1">
      <w:pPr>
        <w:pStyle w:val="ListParagraph"/>
        <w:numPr>
          <w:ilvl w:val="0"/>
          <w:numId w:val="5"/>
        </w:numPr>
        <w:contextualSpacing w:val="0"/>
      </w:pPr>
      <w:r w:rsidRPr="0056724A">
        <w:t>Put 1 mL of cold cell culture to a tube (tube 1B) and place on ice.</w:t>
      </w:r>
    </w:p>
    <w:p w:rsidR="00AA17F1" w:rsidRPr="0056724A" w:rsidRDefault="00AA17F1" w:rsidP="00AA17F1">
      <w:pPr>
        <w:pStyle w:val="ListParagraph"/>
        <w:numPr>
          <w:ilvl w:val="0"/>
          <w:numId w:val="5"/>
        </w:numPr>
        <w:contextualSpacing w:val="0"/>
      </w:pPr>
      <w:r w:rsidRPr="0056724A">
        <w:t>Transfer 0.1 mL from tube 1B to tube 2B.  Mix gently.  Keep cold.</w:t>
      </w:r>
    </w:p>
    <w:p w:rsidR="00AA17F1" w:rsidRPr="0056724A" w:rsidRDefault="00AA17F1" w:rsidP="00AA17F1">
      <w:pPr>
        <w:pStyle w:val="ListParagraph"/>
        <w:numPr>
          <w:ilvl w:val="0"/>
          <w:numId w:val="5"/>
        </w:numPr>
        <w:contextualSpacing w:val="0"/>
      </w:pPr>
      <w:r w:rsidRPr="0056724A">
        <w:t>Repeat for the rest of the tubes in the series.  Keep tubes on ice.</w:t>
      </w:r>
    </w:p>
    <w:p w:rsidR="0056724A" w:rsidRPr="0056724A" w:rsidRDefault="0056724A">
      <w:pPr>
        <w:rPr>
          <w:rFonts w:eastAsia="Times New Roman" w:cs="Times New Roman"/>
          <w:b/>
          <w:sz w:val="26"/>
          <w:szCs w:val="28"/>
        </w:rPr>
      </w:pPr>
      <w:r w:rsidRPr="0056724A">
        <w:rPr>
          <w:rFonts w:cs="Times New Roman"/>
        </w:rPr>
        <w:br w:type="page"/>
      </w:r>
    </w:p>
    <w:p w:rsidR="00AA17F1" w:rsidRPr="0056724A" w:rsidRDefault="00AA17F1" w:rsidP="00AA17F1">
      <w:pPr>
        <w:pStyle w:val="Heading4"/>
        <w:rPr>
          <w:rFonts w:ascii="Times New Roman" w:hAnsi="Times New Roman" w:cs="Times New Roman"/>
        </w:rPr>
      </w:pPr>
      <w:r w:rsidRPr="0056724A">
        <w:rPr>
          <w:rFonts w:ascii="Times New Roman" w:hAnsi="Times New Roman" w:cs="Times New Roman"/>
        </w:rPr>
        <w:lastRenderedPageBreak/>
        <w:t>2.  Measure cell optical density (OD) using the plate reader</w:t>
      </w:r>
    </w:p>
    <w:p w:rsidR="00AA17F1" w:rsidRPr="0056724A" w:rsidRDefault="00AA17F1" w:rsidP="00991568">
      <w:pPr>
        <w:rPr>
          <w:rFonts w:cs="Times New Roman"/>
        </w:rPr>
      </w:pPr>
      <w:r w:rsidRPr="0056724A">
        <w:rPr>
          <w:rFonts w:cs="Times New Roman"/>
        </w:rPr>
        <w:t xml:space="preserve">OD is a general property of a solution that could refer to either the </w:t>
      </w:r>
      <w:r w:rsidRPr="0056724A">
        <w:rPr>
          <w:rFonts w:cs="Times New Roman"/>
          <w:i/>
        </w:rPr>
        <w:t>absorption</w:t>
      </w:r>
      <w:r w:rsidRPr="0056724A">
        <w:rPr>
          <w:rFonts w:cs="Times New Roman"/>
        </w:rPr>
        <w:t xml:space="preserve"> of light, or light </w:t>
      </w:r>
      <w:r w:rsidRPr="0056724A">
        <w:rPr>
          <w:rFonts w:cs="Times New Roman"/>
          <w:i/>
        </w:rPr>
        <w:t>scattering</w:t>
      </w:r>
      <w:r w:rsidRPr="0056724A">
        <w:rPr>
          <w:rFonts w:cs="Times New Roman"/>
        </w:rPr>
        <w:t xml:space="preserve">, which also reduces the intensity of transmitted light and makes solutions cloudy or </w:t>
      </w:r>
      <w:r w:rsidRPr="0056724A">
        <w:rPr>
          <w:rFonts w:cs="Times New Roman"/>
          <w:i/>
        </w:rPr>
        <w:t>turbid</w:t>
      </w:r>
      <w:r w:rsidRPr="0056724A">
        <w:rPr>
          <w:rFonts w:cs="Times New Roman"/>
        </w:rPr>
        <w:t xml:space="preserve">.  Bacterial cells scatter light, and the amount of scattering is proportional to the cell concentration.  Typically, the OD of a bacterial culture is measured at 600 nm, but our plate reader measures OD at </w:t>
      </w:r>
      <w:r w:rsidRPr="0056724A">
        <w:rPr>
          <w:rFonts w:cs="Times New Roman"/>
          <w:b/>
        </w:rPr>
        <w:t>595 nm</w:t>
      </w:r>
      <w:r w:rsidRPr="0056724A">
        <w:rPr>
          <w:rFonts w:cs="Times New Roman"/>
        </w:rPr>
        <w:t xml:space="preserve">.  When the response is linear, the cell concentration will be </w:t>
      </w:r>
      <w:r w:rsidRPr="0056724A">
        <w:rPr>
          <w:rFonts w:eastAsia="Cambria" w:cs="Times New Roman"/>
          <w:i/>
          <w:color w:val="000000"/>
        </w:rPr>
        <w:t>proportional</w:t>
      </w:r>
      <w:r w:rsidR="002F6CEC">
        <w:rPr>
          <w:rFonts w:cs="Times New Roman"/>
        </w:rPr>
        <w:t xml:space="preserve"> to OD through a constant.</w:t>
      </w:r>
      <w:r w:rsidRPr="0056724A">
        <w:rPr>
          <w:rFonts w:cs="Times New Roman"/>
        </w:rPr>
        <w:t xml:space="preserve">  The protocol </w:t>
      </w:r>
      <w:r w:rsidRPr="0056724A">
        <w:rPr>
          <w:rFonts w:cs="Times New Roman"/>
          <w:b/>
        </w:rPr>
        <w:t>BUG_OD</w:t>
      </w:r>
      <w:r w:rsidRPr="0056724A">
        <w:rPr>
          <w:rFonts w:cs="Times New Roman"/>
        </w:rPr>
        <w:t xml:space="preserve"> is set up to measure OD</w:t>
      </w:r>
      <w:r w:rsidRPr="0056724A">
        <w:rPr>
          <w:rFonts w:cs="Times New Roman"/>
          <w:vertAlign w:val="subscript"/>
        </w:rPr>
        <w:t>595</w:t>
      </w:r>
      <w:r w:rsidRPr="0056724A">
        <w:rPr>
          <w:rFonts w:cs="Times New Roman"/>
        </w:rPr>
        <w:t xml:space="preserve">.  </w:t>
      </w:r>
      <w:r w:rsidR="00BD1F9A">
        <w:rPr>
          <w:rFonts w:cs="Times New Roman"/>
        </w:rPr>
        <w:t xml:space="preserve"> </w:t>
      </w:r>
    </w:p>
    <w:p w:rsidR="00AA17F1" w:rsidRPr="0056724A" w:rsidRDefault="00AA17F1" w:rsidP="00991568">
      <w:pPr>
        <w:pStyle w:val="ListParagraph"/>
        <w:numPr>
          <w:ilvl w:val="0"/>
          <w:numId w:val="5"/>
        </w:numPr>
        <w:contextualSpacing w:val="0"/>
      </w:pPr>
      <w:r w:rsidRPr="0056724A">
        <w:t>Dispense 250 µL of each culture in the 2-fold dilution series to wells A1 – A10 of your plate.</w:t>
      </w:r>
    </w:p>
    <w:p w:rsidR="00AA17F1" w:rsidRPr="0056724A" w:rsidRDefault="00AA17F1" w:rsidP="00991568">
      <w:pPr>
        <w:pStyle w:val="ListParagraph"/>
        <w:numPr>
          <w:ilvl w:val="0"/>
          <w:numId w:val="5"/>
        </w:numPr>
        <w:contextualSpacing w:val="0"/>
      </w:pPr>
      <w:r w:rsidRPr="0056724A">
        <w:t>Put 250 µL of LB into wells A11 and A12.</w:t>
      </w:r>
    </w:p>
    <w:p w:rsidR="00AA17F1" w:rsidRPr="0056724A" w:rsidRDefault="00AA17F1" w:rsidP="00991568">
      <w:pPr>
        <w:pStyle w:val="ListParagraph"/>
        <w:numPr>
          <w:ilvl w:val="0"/>
          <w:numId w:val="5"/>
        </w:numPr>
        <w:contextualSpacing w:val="0"/>
      </w:pPr>
      <w:r w:rsidRPr="0056724A">
        <w:t>Dispense 250 µL of each culture in the 10-fold dilution series to wells B1 – B10 of your plate.</w:t>
      </w:r>
    </w:p>
    <w:p w:rsidR="00AA17F1" w:rsidRDefault="00AA17F1" w:rsidP="00991568">
      <w:pPr>
        <w:pStyle w:val="ListParagraph"/>
        <w:numPr>
          <w:ilvl w:val="0"/>
          <w:numId w:val="5"/>
        </w:numPr>
        <w:contextualSpacing w:val="0"/>
      </w:pPr>
      <w:r w:rsidRPr="0056724A">
        <w:t>Put 250 µL of LB into wells B11 and B12.</w:t>
      </w:r>
    </w:p>
    <w:p w:rsidR="00222247" w:rsidRPr="00222247" w:rsidRDefault="00222247" w:rsidP="00991568">
      <w:pPr>
        <w:ind w:left="360"/>
        <w:rPr>
          <w:b/>
          <w:sz w:val="32"/>
        </w:rPr>
      </w:pPr>
      <w:r w:rsidRPr="00222247">
        <w:rPr>
          <w:b/>
          <w:sz w:val="32"/>
        </w:rPr>
        <w:t>Using the plate reader:</w:t>
      </w:r>
    </w:p>
    <w:p w:rsidR="00222247" w:rsidRPr="0056724A" w:rsidRDefault="00222247" w:rsidP="00991568">
      <w:pPr>
        <w:ind w:left="360"/>
        <w:rPr>
          <w:rFonts w:cs="Times New Roman"/>
        </w:rPr>
      </w:pPr>
      <w:r>
        <w:t>Take your plate to the plate reader, where the instructor will assist you in taking the measurements.  The measurement method generated for this experiment is called “</w:t>
      </w:r>
      <w:proofErr w:type="spellStart"/>
      <w:r w:rsidRPr="0056724A">
        <w:rPr>
          <w:rFonts w:cs="Times New Roman"/>
          <w:b/>
        </w:rPr>
        <w:t>Bug_OD</w:t>
      </w:r>
      <w:proofErr w:type="spellEnd"/>
      <w:r>
        <w:t>.”</w:t>
      </w:r>
    </w:p>
    <w:p w:rsidR="00AA17F1" w:rsidRPr="0056724A" w:rsidRDefault="00AA17F1" w:rsidP="00991568">
      <w:pPr>
        <w:pStyle w:val="ListParagraph"/>
        <w:numPr>
          <w:ilvl w:val="0"/>
          <w:numId w:val="5"/>
        </w:numPr>
        <w:contextualSpacing w:val="0"/>
      </w:pPr>
      <w:r w:rsidRPr="0056724A">
        <w:t>If you have to wait in line for a plate reader, put your plate in the refrigerator until it is your turn.</w:t>
      </w:r>
    </w:p>
    <w:p w:rsidR="00AA17F1" w:rsidRPr="0056724A" w:rsidRDefault="00AA17F1" w:rsidP="00991568">
      <w:pPr>
        <w:pStyle w:val="ListParagraph"/>
        <w:numPr>
          <w:ilvl w:val="0"/>
          <w:numId w:val="5"/>
        </w:numPr>
        <w:contextualSpacing w:val="0"/>
      </w:pPr>
      <w:r w:rsidRPr="0056724A">
        <w:t>Read the OD at 595nm (OD</w:t>
      </w:r>
      <w:r w:rsidRPr="0056724A">
        <w:rPr>
          <w:vertAlign w:val="subscript"/>
        </w:rPr>
        <w:t>595</w:t>
      </w:r>
      <w:r w:rsidRPr="0056724A">
        <w:t xml:space="preserve">) with the protocol </w:t>
      </w:r>
      <w:proofErr w:type="spellStart"/>
      <w:r w:rsidRPr="0056724A">
        <w:rPr>
          <w:b/>
        </w:rPr>
        <w:t>Bug_OD</w:t>
      </w:r>
      <w:proofErr w:type="spellEnd"/>
      <w:r w:rsidRPr="0056724A">
        <w:t xml:space="preserve">. </w:t>
      </w:r>
    </w:p>
    <w:p w:rsidR="00222247" w:rsidRPr="0083146C" w:rsidRDefault="00222247" w:rsidP="00991568">
      <w:pPr>
        <w:numPr>
          <w:ilvl w:val="0"/>
          <w:numId w:val="5"/>
        </w:numPr>
        <w:spacing w:after="120" w:line="240" w:lineRule="auto"/>
      </w:pPr>
      <w:r w:rsidRPr="0083146C">
        <w:t xml:space="preserve">Open OPTIMA, </w:t>
      </w:r>
      <w:r w:rsidRPr="00D20631">
        <w:rPr>
          <w:rStyle w:val="warningchar"/>
        </w:rPr>
        <w:t>click your group from the users menu</w:t>
      </w:r>
      <w:r w:rsidRPr="0083146C">
        <w:t xml:space="preserve">, </w:t>
      </w:r>
      <w:proofErr w:type="gramStart"/>
      <w:r w:rsidRPr="0083146C">
        <w:t>then</w:t>
      </w:r>
      <w:proofErr w:type="gramEnd"/>
      <w:r w:rsidRPr="0083146C">
        <w:t xml:space="preserve"> click “RUN”.</w:t>
      </w:r>
    </w:p>
    <w:p w:rsidR="00222247" w:rsidRPr="0083146C" w:rsidRDefault="00222247" w:rsidP="00991568">
      <w:pPr>
        <w:numPr>
          <w:ilvl w:val="0"/>
          <w:numId w:val="5"/>
        </w:numPr>
        <w:spacing w:after="120" w:line="240" w:lineRule="auto"/>
      </w:pPr>
      <w:r w:rsidRPr="0083146C">
        <w:t>Open plate reader by pushing the button on the machine and place your plate on the tray</w:t>
      </w:r>
      <w:r>
        <w:t xml:space="preserve"> so you can read the letters and numbers</w:t>
      </w:r>
      <w:r w:rsidRPr="0083146C">
        <w:t xml:space="preserve">.  </w:t>
      </w:r>
      <w:r w:rsidR="00991568">
        <w:rPr>
          <w:b/>
        </w:rPr>
        <w:t xml:space="preserve">Remove your plate’s lid as it interferes with the reading.  </w:t>
      </w:r>
      <w:r w:rsidRPr="0083146C">
        <w:t xml:space="preserve">Push the button on the machine again to have the tray retract back into the machine.  </w:t>
      </w:r>
    </w:p>
    <w:p w:rsidR="00222247" w:rsidRPr="0083146C" w:rsidRDefault="00222247" w:rsidP="00991568">
      <w:pPr>
        <w:numPr>
          <w:ilvl w:val="0"/>
          <w:numId w:val="5"/>
        </w:numPr>
        <w:spacing w:after="120" w:line="240" w:lineRule="auto"/>
      </w:pPr>
      <w:r w:rsidRPr="0083146C">
        <w:t xml:space="preserve">When ready to take a reading, click the traffic light on the top left side of the program window.  </w:t>
      </w:r>
    </w:p>
    <w:p w:rsidR="00222247" w:rsidRPr="0083146C" w:rsidRDefault="00222247" w:rsidP="00991568">
      <w:pPr>
        <w:numPr>
          <w:ilvl w:val="0"/>
          <w:numId w:val="5"/>
        </w:numPr>
        <w:spacing w:after="120" w:line="240" w:lineRule="auto"/>
      </w:pPr>
      <w:r w:rsidRPr="0083146C">
        <w:t xml:space="preserve">It will now ask you to select a test program:  select the </w:t>
      </w:r>
      <w:r>
        <w:t xml:space="preserve">program called </w:t>
      </w:r>
      <w:proofErr w:type="spellStart"/>
      <w:r>
        <w:rPr>
          <w:b/>
        </w:rPr>
        <w:t>Bug_OD</w:t>
      </w:r>
      <w:proofErr w:type="spellEnd"/>
      <w:r w:rsidRPr="0083146C">
        <w:t xml:space="preserve">; </w:t>
      </w:r>
      <w:r>
        <w:t>click</w:t>
      </w:r>
      <w:r w:rsidRPr="0083146C">
        <w:t xml:space="preserve"> ok.</w:t>
      </w:r>
    </w:p>
    <w:p w:rsidR="00222247" w:rsidRDefault="00222247" w:rsidP="00991568">
      <w:pPr>
        <w:numPr>
          <w:ilvl w:val="0"/>
          <w:numId w:val="5"/>
        </w:numPr>
        <w:spacing w:after="120" w:line="240" w:lineRule="auto"/>
      </w:pPr>
      <w:r w:rsidRPr="0083146C">
        <w:t xml:space="preserve">On the next menu screen, </w:t>
      </w:r>
      <w:r>
        <w:t xml:space="preserve">name the file (choose a file name specific to yourselves), select protocol and method as the secondary identifiers, and </w:t>
      </w:r>
      <w:r w:rsidRPr="0083146C">
        <w:t>click start measurement.</w:t>
      </w:r>
    </w:p>
    <w:p w:rsidR="00222247" w:rsidRPr="0083146C" w:rsidRDefault="00222247" w:rsidP="00991568">
      <w:pPr>
        <w:numPr>
          <w:ilvl w:val="0"/>
          <w:numId w:val="5"/>
        </w:numPr>
        <w:spacing w:after="120" w:line="240" w:lineRule="auto"/>
      </w:pPr>
      <w:r w:rsidRPr="0083146C">
        <w:t>Where the traffic light was, there will be an absorbance graph.  Click this once to see your data being collected in real time.</w:t>
      </w:r>
    </w:p>
    <w:p w:rsidR="00222247" w:rsidRPr="0083146C" w:rsidRDefault="00222247" w:rsidP="00991568">
      <w:pPr>
        <w:numPr>
          <w:ilvl w:val="0"/>
          <w:numId w:val="5"/>
        </w:numPr>
        <w:spacing w:after="120" w:line="240" w:lineRule="auto"/>
      </w:pPr>
      <w:r w:rsidRPr="0083146C">
        <w:t>Make sure the values that are showing</w:t>
      </w:r>
      <w:r>
        <w:t xml:space="preserve"> up are absorbance values</w:t>
      </w:r>
      <w:r w:rsidRPr="0083146C">
        <w:t>.  This is on the bottom right hand side of the screen.</w:t>
      </w:r>
    </w:p>
    <w:p w:rsidR="00222247" w:rsidRPr="0083146C" w:rsidRDefault="00222247" w:rsidP="00222247">
      <w:pPr>
        <w:numPr>
          <w:ilvl w:val="0"/>
          <w:numId w:val="5"/>
        </w:numPr>
        <w:spacing w:after="120" w:line="240" w:lineRule="auto"/>
        <w:jc w:val="both"/>
      </w:pPr>
      <w:r w:rsidRPr="0083146C">
        <w:t>When the reader has concluded collecting data, simply click close.   (Do not push save</w:t>
      </w:r>
      <w:r>
        <w:t xml:space="preserve"> – it doesn’t do what you hope it does.  It turns your data into a jpeg file!</w:t>
      </w:r>
      <w:r w:rsidRPr="0083146C">
        <w:t>).</w:t>
      </w:r>
    </w:p>
    <w:p w:rsidR="00222247" w:rsidRPr="0083146C" w:rsidRDefault="00222247" w:rsidP="00222247">
      <w:pPr>
        <w:numPr>
          <w:ilvl w:val="0"/>
          <w:numId w:val="5"/>
        </w:numPr>
        <w:spacing w:after="120" w:line="240" w:lineRule="auto"/>
        <w:jc w:val="both"/>
      </w:pPr>
      <w:r w:rsidRPr="0083146C">
        <w:lastRenderedPageBreak/>
        <w:t xml:space="preserve">Your data should be in </w:t>
      </w:r>
      <w:r>
        <w:t xml:space="preserve">a </w:t>
      </w:r>
      <w:r w:rsidR="00BD1F9A">
        <w:t>.</w:t>
      </w:r>
      <w:r>
        <w:t xml:space="preserve">csv file in </w:t>
      </w:r>
      <w:r w:rsidRPr="0083146C">
        <w:t>your Wahoo folder waiting for you to analyze it</w:t>
      </w:r>
    </w:p>
    <w:p w:rsidR="00AA17F1" w:rsidRPr="0056724A" w:rsidRDefault="00AA17F1" w:rsidP="00AA17F1">
      <w:pPr>
        <w:pStyle w:val="ListParagraph"/>
        <w:numPr>
          <w:ilvl w:val="0"/>
          <w:numId w:val="5"/>
        </w:numPr>
        <w:contextualSpacing w:val="0"/>
      </w:pPr>
      <w:r w:rsidRPr="0056724A">
        <w:t>Open the file at your desktop computer.</w:t>
      </w:r>
      <w:r w:rsidR="00222247">
        <w:t xml:space="preserve"> </w:t>
      </w:r>
      <w:r w:rsidR="00222247" w:rsidRPr="006436DB">
        <w:rPr>
          <w:rStyle w:val="warningchar"/>
        </w:rPr>
        <w:t>Save it as an Excel (xlsx) file to the desktop</w:t>
      </w:r>
      <w:r w:rsidR="00F56459">
        <w:t>!</w:t>
      </w:r>
      <w:r w:rsidR="00222247">
        <w:t xml:space="preserve">  </w:t>
      </w:r>
      <w:r w:rsidR="00222247" w:rsidRPr="0083146C">
        <w:t>Make a note in your notebook of the file name and what’s in it.</w:t>
      </w:r>
    </w:p>
    <w:p w:rsidR="00AA17F1" w:rsidRDefault="00AA17F1" w:rsidP="00AA17F1">
      <w:pPr>
        <w:pStyle w:val="ListParagraph"/>
        <w:numPr>
          <w:ilvl w:val="0"/>
          <w:numId w:val="5"/>
        </w:numPr>
        <w:contextualSpacing w:val="0"/>
      </w:pPr>
      <w:r w:rsidRPr="0056724A">
        <w:t>Compile your two dilution series and plot the data.</w:t>
      </w:r>
    </w:p>
    <w:p w:rsidR="00222247" w:rsidRPr="00222247" w:rsidRDefault="00222247" w:rsidP="00222247">
      <w:pPr>
        <w:pStyle w:val="Heading3"/>
        <w:rPr>
          <w:rFonts w:ascii="Times New Roman" w:hAnsi="Times New Roman"/>
        </w:rPr>
      </w:pPr>
      <w:bookmarkStart w:id="44" w:name="_Toc177285401"/>
      <w:bookmarkStart w:id="45" w:name="_Toc177382494"/>
      <w:bookmarkStart w:id="46" w:name="_Toc177633421"/>
      <w:bookmarkStart w:id="47" w:name="_Toc177634058"/>
      <w:bookmarkStart w:id="48" w:name="_Toc177635979"/>
      <w:bookmarkStart w:id="49" w:name="_Ref280261078"/>
      <w:r w:rsidRPr="00222247">
        <w:rPr>
          <w:rFonts w:ascii="Times New Roman" w:hAnsi="Times New Roman"/>
        </w:rPr>
        <w:t>Compile and sort the data</w:t>
      </w:r>
      <w:bookmarkEnd w:id="44"/>
      <w:bookmarkEnd w:id="45"/>
      <w:bookmarkEnd w:id="46"/>
      <w:bookmarkEnd w:id="47"/>
      <w:bookmarkEnd w:id="48"/>
      <w:bookmarkEnd w:id="49"/>
    </w:p>
    <w:p w:rsidR="00222247" w:rsidRDefault="00222247" w:rsidP="00C44283">
      <w:pPr>
        <w:pStyle w:val="ListParagraph"/>
        <w:numPr>
          <w:ilvl w:val="0"/>
          <w:numId w:val="7"/>
        </w:numPr>
        <w:spacing w:after="200"/>
      </w:pPr>
      <w:r>
        <w:t>You will probably like columns better than rows for this activity.</w:t>
      </w:r>
    </w:p>
    <w:p w:rsidR="00222247" w:rsidRDefault="00222247" w:rsidP="00C44283">
      <w:pPr>
        <w:pStyle w:val="ListParagraph"/>
        <w:numPr>
          <w:ilvl w:val="0"/>
          <w:numId w:val="7"/>
        </w:numPr>
        <w:spacing w:after="200"/>
      </w:pPr>
      <w:r>
        <w:t>To turn your row data into column data, you will need the paste transposed command (Edit/paste special/transpose).</w:t>
      </w:r>
    </w:p>
    <w:p w:rsidR="00222247" w:rsidRDefault="00222247" w:rsidP="00C44283">
      <w:pPr>
        <w:pStyle w:val="ListParagraph"/>
        <w:numPr>
          <w:ilvl w:val="0"/>
          <w:numId w:val="7"/>
        </w:numPr>
        <w:spacing w:after="200"/>
      </w:pPr>
      <w:r>
        <w:t xml:space="preserve">Get all your </w:t>
      </w:r>
      <w:r w:rsidR="00873BB3">
        <w:t>OD</w:t>
      </w:r>
      <w:r w:rsidR="00873BB3" w:rsidRPr="00C44283">
        <w:rPr>
          <w:vertAlign w:val="subscript"/>
        </w:rPr>
        <w:t>595</w:t>
      </w:r>
      <w:r>
        <w:t xml:space="preserve"> readings in a single column, with their </w:t>
      </w:r>
      <w:r w:rsidR="00873BB3">
        <w:t>dilution magnitude</w:t>
      </w:r>
      <w:r>
        <w:t xml:space="preserve"> to the left of them.  </w:t>
      </w:r>
    </w:p>
    <w:p w:rsidR="00222247" w:rsidRDefault="00222247" w:rsidP="00C44283">
      <w:pPr>
        <w:pStyle w:val="ListParagraph"/>
        <w:numPr>
          <w:ilvl w:val="0"/>
          <w:numId w:val="7"/>
        </w:numPr>
        <w:spacing w:after="200"/>
      </w:pPr>
      <w:r>
        <w:t>Sort the data from lowest concentration to highest.  (Use Data/sort.)</w:t>
      </w:r>
    </w:p>
    <w:p w:rsidR="005D5F77" w:rsidRDefault="005D5F77" w:rsidP="00C44283">
      <w:pPr>
        <w:pStyle w:val="ListParagraph"/>
        <w:numPr>
          <w:ilvl w:val="0"/>
          <w:numId w:val="7"/>
        </w:numPr>
        <w:spacing w:after="200"/>
      </w:pPr>
      <w:r>
        <w:t>Don’t forget to subtract the blank!</w:t>
      </w:r>
    </w:p>
    <w:p w:rsidR="00873BB3" w:rsidRPr="00873BB3" w:rsidRDefault="00873BB3" w:rsidP="00873BB3">
      <w:pPr>
        <w:pStyle w:val="Heading4"/>
        <w:rPr>
          <w:rFonts w:ascii="Times New Roman" w:hAnsi="Times New Roman" w:cs="Times New Roman"/>
          <w:vertAlign w:val="subscript"/>
        </w:rPr>
      </w:pPr>
      <w:r w:rsidRPr="00873BB3">
        <w:rPr>
          <w:rFonts w:ascii="Times New Roman" w:hAnsi="Times New Roman" w:cs="Times New Roman"/>
        </w:rPr>
        <w:t xml:space="preserve">The relationship between concentration and </w:t>
      </w:r>
      <w:r>
        <w:rPr>
          <w:rFonts w:ascii="Times New Roman" w:hAnsi="Times New Roman" w:cs="Times New Roman"/>
        </w:rPr>
        <w:t>OD</w:t>
      </w:r>
      <w:r>
        <w:rPr>
          <w:rFonts w:ascii="Times New Roman" w:hAnsi="Times New Roman" w:cs="Times New Roman"/>
          <w:vertAlign w:val="subscript"/>
        </w:rPr>
        <w:t>595</w:t>
      </w:r>
    </w:p>
    <w:p w:rsidR="00873BB3" w:rsidRDefault="00873BB3" w:rsidP="00873BB3">
      <w:pPr>
        <w:keepNext/>
        <w:spacing w:after="200"/>
      </w:pPr>
      <w:r>
        <w:t>Plot dilution vs. OD</w:t>
      </w:r>
      <w:r>
        <w:rPr>
          <w:vertAlign w:val="subscript"/>
        </w:rPr>
        <w:t>595</w:t>
      </w:r>
      <w:r>
        <w:t xml:space="preserve"> using a scatterplot (</w:t>
      </w:r>
      <w:r w:rsidRPr="005447DD">
        <w:t>not a line graph</w:t>
      </w:r>
      <w:r>
        <w:t xml:space="preserve">, which isn’t what it sounds like).  </w:t>
      </w:r>
      <w:r w:rsidR="008D3F08">
        <w:t>Read the section below on getting rid of noise. Create a new graph with just the data in the linear range.</w:t>
      </w:r>
    </w:p>
    <w:p w:rsidR="00873BB3" w:rsidRPr="005447DD" w:rsidRDefault="00873BB3" w:rsidP="00873BB3"/>
    <w:p w:rsidR="008D3F08" w:rsidRDefault="008D3F08">
      <w:pPr>
        <w:rPr>
          <w:rFonts w:eastAsia="Times New Roman" w:cs="Times New Roman"/>
          <w:b/>
          <w:sz w:val="26"/>
          <w:szCs w:val="28"/>
        </w:rPr>
      </w:pPr>
      <w:bookmarkStart w:id="50" w:name="_Ref280019583"/>
      <w:r>
        <w:rPr>
          <w:rFonts w:cs="Times New Roman"/>
        </w:rPr>
        <w:br w:type="page"/>
      </w:r>
    </w:p>
    <w:p w:rsidR="00873BB3" w:rsidRPr="00873BB3" w:rsidRDefault="00873BB3" w:rsidP="00873BB3">
      <w:pPr>
        <w:pStyle w:val="Heading4"/>
        <w:rPr>
          <w:rFonts w:ascii="Times New Roman" w:hAnsi="Times New Roman" w:cs="Times New Roman"/>
        </w:rPr>
      </w:pPr>
      <w:r w:rsidRPr="00873BB3">
        <w:rPr>
          <w:rFonts w:ascii="Times New Roman" w:hAnsi="Times New Roman" w:cs="Times New Roman"/>
        </w:rPr>
        <w:lastRenderedPageBreak/>
        <w:t>The art of the standard curve</w:t>
      </w:r>
      <w:bookmarkEnd w:id="50"/>
    </w:p>
    <w:p w:rsidR="00873BB3" w:rsidRDefault="00873BB3" w:rsidP="00873BB3">
      <w:pPr>
        <w:keepLines/>
      </w:pPr>
      <w:r w:rsidRPr="0083146C">
        <w:t xml:space="preserve">Add a linear trendline.  Think about whether you should force this line through the origin by </w:t>
      </w:r>
      <w:bookmarkStart w:id="51" w:name="intercept"/>
      <w:r w:rsidRPr="0083146C">
        <w:t>setting the intercept to 0</w:t>
      </w:r>
      <w:bookmarkEnd w:id="51"/>
      <w:r>
        <w:t xml:space="preserve"> (you can do this in the options menu of the trend-line dialog box)</w:t>
      </w:r>
      <w:r w:rsidRPr="0083146C">
        <w:t xml:space="preserve">.  (Hint:  what should the </w:t>
      </w:r>
      <w:r w:rsidR="00C44283">
        <w:t>OD</w:t>
      </w:r>
      <w:r w:rsidR="00C44283">
        <w:rPr>
          <w:vertAlign w:val="subscript"/>
        </w:rPr>
        <w:t>595</w:t>
      </w:r>
      <w:r w:rsidRPr="0083146C">
        <w:t xml:space="preserve"> of no </w:t>
      </w:r>
      <w:r w:rsidR="00C44283">
        <w:t>bacteria</w:t>
      </w:r>
      <w:r w:rsidRPr="0083146C">
        <w:t xml:space="preserve"> be?)</w:t>
      </w:r>
      <w:r>
        <w:t xml:space="preserve"> </w:t>
      </w:r>
      <w:r w:rsidRPr="0083146C">
        <w:t xml:space="preserve"> One of your trend</w:t>
      </w:r>
      <w:r>
        <w:t>-</w:t>
      </w:r>
      <w:r w:rsidRPr="0083146C">
        <w:t xml:space="preserve">line options is to include the equation of the line on the graph. </w:t>
      </w:r>
      <w:r>
        <w:t xml:space="preserve"> </w:t>
      </w:r>
      <w:r w:rsidRPr="0083146C">
        <w:t xml:space="preserve">Another option, </w:t>
      </w:r>
      <w:r>
        <w:t>which</w:t>
      </w:r>
      <w:r w:rsidRPr="0083146C">
        <w:t xml:space="preserve"> may be useful in deciding which points to discard, is to display R</w:t>
      </w:r>
      <w:r w:rsidRPr="001E20B6">
        <w:rPr>
          <w:vertAlign w:val="superscript"/>
        </w:rPr>
        <w:t>2</w:t>
      </w:r>
      <w:r w:rsidRPr="0083146C">
        <w:t>.  This value is a measure of the goodness of fit of the points to the line.  R</w:t>
      </w:r>
      <w:r w:rsidRPr="001E20B6">
        <w:rPr>
          <w:vertAlign w:val="superscript"/>
        </w:rPr>
        <w:t>2</w:t>
      </w:r>
      <w:r w:rsidRPr="0083146C">
        <w:t xml:space="preserve"> is 1 for a perfect fit, and 0 f</w:t>
      </w:r>
      <w:r>
        <w:t>or no discernable trend at all.</w:t>
      </w:r>
    </w:p>
    <w:p w:rsidR="00873BB3" w:rsidRDefault="00873BB3" w:rsidP="00873BB3">
      <w:pPr>
        <w:keepLines/>
      </w:pPr>
      <w:r>
        <w:fldChar w:fldCharType="begin"/>
      </w:r>
      <w:r>
        <w:instrText xml:space="preserve"> REF _Ref267651001 \h </w:instrText>
      </w:r>
      <w:r>
        <w:fldChar w:fldCharType="separate"/>
      </w:r>
      <w:r w:rsidR="00F56459">
        <w:t xml:space="preserve">Figure </w:t>
      </w:r>
      <w:r>
        <w:fldChar w:fldCharType="end"/>
      </w:r>
      <w:r>
        <w:t xml:space="preserve">2 shows a different set of data.  In this case it’s the absorbance of a dye in solution.  The concentration is on the x-axis and the absorbance is on the y.  The data points show a general positive correlation between concentration and absorbance, but don’t fall convincingly on a line (certainly not one that has been forced through zero).  </w:t>
      </w:r>
    </w:p>
    <w:p w:rsidR="00873BB3" w:rsidRDefault="00873BB3" w:rsidP="00873BB3">
      <w:pPr>
        <w:keepNext/>
      </w:pPr>
      <w:r>
        <w:rPr>
          <w:noProof/>
        </w:rPr>
        <w:drawing>
          <wp:inline distT="0" distB="0" distL="0" distR="0" wp14:anchorId="75895C94" wp14:editId="31B18EF4">
            <wp:extent cx="5486400" cy="3730625"/>
            <wp:effectExtent l="0" t="0" r="0" b="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3BB3" w:rsidRDefault="00873BB3" w:rsidP="00873BB3">
      <w:pPr>
        <w:pStyle w:val="Caption"/>
        <w:jc w:val="center"/>
        <w:rPr>
          <w:b w:val="0"/>
        </w:rPr>
      </w:pPr>
      <w:bookmarkStart w:id="52" w:name="_Ref267651001"/>
      <w:r>
        <w:t xml:space="preserve">Figure </w:t>
      </w:r>
      <w:bookmarkEnd w:id="52"/>
      <w:r>
        <w:t xml:space="preserve">2.  </w:t>
      </w:r>
      <w:r>
        <w:rPr>
          <w:b w:val="0"/>
        </w:rPr>
        <w:t>Relationship between concentration and ab</w:t>
      </w:r>
      <w:r w:rsidR="003528E2">
        <w:rPr>
          <w:b w:val="0"/>
        </w:rPr>
        <w:t>s</w:t>
      </w:r>
      <w:r>
        <w:rPr>
          <w:b w:val="0"/>
        </w:rPr>
        <w:t>orbance.</w:t>
      </w:r>
    </w:p>
    <w:p w:rsidR="00873BB3" w:rsidRPr="006665B0" w:rsidRDefault="00873BB3" w:rsidP="00873BB3">
      <w:r>
        <w:t xml:space="preserve">The two circled regions of points represent </w:t>
      </w:r>
      <w:r w:rsidRPr="00F63DF1">
        <w:rPr>
          <w:i/>
        </w:rPr>
        <w:t>noise</w:t>
      </w:r>
      <w:r>
        <w:t>, that is, extraneous background signals that prevent detection of the actual relationship.  There is no apparent relationship between concentration and absorbance at either the high (</w:t>
      </w:r>
      <w:r>
        <w:rPr>
          <w:b/>
        </w:rPr>
        <w:fldChar w:fldCharType="begin"/>
      </w:r>
      <w:r>
        <w:instrText xml:space="preserve"> REF _Ref267651303 \h </w:instrText>
      </w:r>
      <w:r>
        <w:rPr>
          <w:b/>
        </w:rPr>
      </w:r>
      <w:r>
        <w:rPr>
          <w:b/>
        </w:rPr>
        <w:fldChar w:fldCharType="separate"/>
      </w:r>
      <w:r w:rsidR="00F56459">
        <w:t xml:space="preserve">Figure </w:t>
      </w:r>
      <w:r>
        <w:rPr>
          <w:b/>
        </w:rPr>
        <w:fldChar w:fldCharType="end"/>
      </w:r>
      <w:r w:rsidR="003528E2">
        <w:rPr>
          <w:b/>
        </w:rPr>
        <w:t>3</w:t>
      </w:r>
      <w:r>
        <w:t>) or the low (</w:t>
      </w:r>
      <w:r>
        <w:fldChar w:fldCharType="begin"/>
      </w:r>
      <w:r>
        <w:instrText xml:space="preserve"> REF _Ref267651748 \h </w:instrText>
      </w:r>
      <w:r>
        <w:fldChar w:fldCharType="separate"/>
      </w:r>
      <w:r w:rsidR="00F56459">
        <w:t xml:space="preserve">Figure </w:t>
      </w:r>
      <w:r w:rsidR="00F56459">
        <w:rPr>
          <w:noProof/>
        </w:rPr>
        <w:t>2</w:t>
      </w:r>
      <w:r>
        <w:fldChar w:fldCharType="end"/>
      </w:r>
      <w:r>
        <w:t>) end of the data range. Concentrations above 10 are apparently so dark that the detector cannot distinguish between them.  Similarly, concentrations below 1 are also apparently indistinguishable from each other.  Therefore, you ought not use absorbance values below 0.2 or above 0.9 to estimate the concentration of this particular substance.</w:t>
      </w:r>
    </w:p>
    <w:p w:rsidR="00873BB3" w:rsidRDefault="00873BB3" w:rsidP="00873BB3">
      <w:pPr>
        <w:keepNext/>
        <w:spacing w:after="0"/>
      </w:pPr>
      <w:r>
        <w:rPr>
          <w:noProof/>
        </w:rPr>
        <w:lastRenderedPageBreak/>
        <w:drawing>
          <wp:inline distT="0" distB="0" distL="0" distR="0" wp14:anchorId="03C603C8" wp14:editId="5E8BBAAA">
            <wp:extent cx="5486400" cy="3730625"/>
            <wp:effectExtent l="0" t="0" r="0" b="0"/>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73BB3" w:rsidRDefault="00873BB3" w:rsidP="00873BB3">
      <w:pPr>
        <w:pStyle w:val="Caption"/>
        <w:spacing w:before="0" w:after="240"/>
        <w:jc w:val="center"/>
        <w:rPr>
          <w:b w:val="0"/>
        </w:rPr>
      </w:pPr>
      <w:bookmarkStart w:id="53" w:name="_Ref267651303"/>
      <w:r>
        <w:t xml:space="preserve">Figure </w:t>
      </w:r>
      <w:bookmarkEnd w:id="53"/>
      <w:r w:rsidR="003528E2">
        <w:t>3</w:t>
      </w:r>
      <w:r>
        <w:t xml:space="preserve">.  </w:t>
      </w:r>
      <w:r>
        <w:rPr>
          <w:b w:val="0"/>
        </w:rPr>
        <w:t>The relationship between high concentration and absorbance.</w:t>
      </w:r>
    </w:p>
    <w:p w:rsidR="00873BB3" w:rsidRDefault="00873BB3" w:rsidP="00873BB3">
      <w:pPr>
        <w:keepNext/>
        <w:spacing w:after="0"/>
      </w:pPr>
      <w:r>
        <w:rPr>
          <w:noProof/>
        </w:rPr>
        <w:drawing>
          <wp:inline distT="0" distB="0" distL="0" distR="0" wp14:anchorId="3184EFA3" wp14:editId="53EA1EEC">
            <wp:extent cx="5486400" cy="3730625"/>
            <wp:effectExtent l="0" t="0" r="0" b="0"/>
            <wp:docPr id="130" name="Chart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73BB3" w:rsidRDefault="00873BB3" w:rsidP="00873BB3">
      <w:pPr>
        <w:pStyle w:val="Caption"/>
        <w:spacing w:before="0" w:after="240"/>
        <w:jc w:val="center"/>
        <w:rPr>
          <w:b w:val="0"/>
        </w:rPr>
      </w:pPr>
      <w:bookmarkStart w:id="54" w:name="_Ref267651748"/>
      <w:r>
        <w:t xml:space="preserve">Figure </w:t>
      </w:r>
      <w:r w:rsidR="00D7173A">
        <w:rPr>
          <w:noProof/>
        </w:rPr>
        <w:fldChar w:fldCharType="begin"/>
      </w:r>
      <w:r w:rsidR="00D7173A">
        <w:rPr>
          <w:noProof/>
        </w:rPr>
        <w:instrText xml:space="preserve"> SEQ Figure \* ARABIC </w:instrText>
      </w:r>
      <w:r w:rsidR="00D7173A">
        <w:rPr>
          <w:noProof/>
        </w:rPr>
        <w:fldChar w:fldCharType="separate"/>
      </w:r>
      <w:r w:rsidR="00F56459">
        <w:rPr>
          <w:noProof/>
        </w:rPr>
        <w:t>2</w:t>
      </w:r>
      <w:r w:rsidR="00D7173A">
        <w:rPr>
          <w:noProof/>
        </w:rPr>
        <w:fldChar w:fldCharType="end"/>
      </w:r>
      <w:bookmarkEnd w:id="54"/>
      <w:r>
        <w:t xml:space="preserve">.  </w:t>
      </w:r>
      <w:r>
        <w:rPr>
          <w:b w:val="0"/>
        </w:rPr>
        <w:t>The relationship between low concentration and absorbance.</w:t>
      </w:r>
      <w:r>
        <w:rPr>
          <w:b w:val="0"/>
        </w:rPr>
        <w:br/>
        <w:t>(Note X axis range compared to previous graphs.)</w:t>
      </w:r>
    </w:p>
    <w:p w:rsidR="00873BB3" w:rsidRDefault="00873BB3" w:rsidP="00873BB3">
      <w:pPr>
        <w:keepNext/>
      </w:pPr>
      <w:r>
        <w:lastRenderedPageBreak/>
        <w:fldChar w:fldCharType="begin"/>
      </w:r>
      <w:r>
        <w:instrText xml:space="preserve"> REF _Ref267654397 \h </w:instrText>
      </w:r>
      <w:r>
        <w:fldChar w:fldCharType="separate"/>
      </w:r>
      <w:r w:rsidR="00F56459">
        <w:t xml:space="preserve">Figure </w:t>
      </w:r>
      <w:r w:rsidR="00F56459">
        <w:rPr>
          <w:noProof/>
        </w:rPr>
        <w:t>3</w:t>
      </w:r>
      <w:r>
        <w:fldChar w:fldCharType="end"/>
      </w:r>
      <w:r>
        <w:t xml:space="preserve"> contains the same mid-range data as </w:t>
      </w:r>
      <w:r>
        <w:fldChar w:fldCharType="begin"/>
      </w:r>
      <w:r>
        <w:instrText xml:space="preserve"> REF _Ref267651001 \h </w:instrText>
      </w:r>
      <w:r>
        <w:fldChar w:fldCharType="separate"/>
      </w:r>
      <w:r w:rsidR="00F56459">
        <w:t xml:space="preserve">Figure </w:t>
      </w:r>
      <w:r>
        <w:fldChar w:fldCharType="end"/>
      </w:r>
      <w:r w:rsidR="00CD6648">
        <w:t>2</w:t>
      </w:r>
      <w:r>
        <w:t xml:space="preserve">.  The data points for concentrations above 10 or below 0.9 have been removed using “source data”, and a trendline has been fitted to the points and forced through the origin.  </w:t>
      </w:r>
      <w:r w:rsidRPr="0083146C">
        <w:t>This is now a standard curve, that is, a graph you can use to estimate the concentration of an unknown solution</w:t>
      </w:r>
      <w:r>
        <w:t>.  The dotted lines show how you can interpolate a concentration from an absorbance value.</w:t>
      </w:r>
    </w:p>
    <w:p w:rsidR="00873BB3" w:rsidRPr="006665B0" w:rsidRDefault="00873BB3" w:rsidP="00873BB3">
      <w:pPr>
        <w:keepNext/>
      </w:pPr>
      <w:r>
        <w:t>You can also use the equation of the line to calculate X from Y.</w:t>
      </w:r>
    </w:p>
    <w:bookmarkStart w:id="55" w:name="_Ref267652148"/>
    <w:p w:rsidR="00873BB3" w:rsidRDefault="00873BB3" w:rsidP="00873BB3">
      <w:pPr>
        <w:pStyle w:val="Caption"/>
        <w:keepNext/>
        <w:ind w:left="0" w:right="0"/>
      </w:pPr>
      <w:r>
        <w:rPr>
          <w:noProof/>
        </w:rPr>
        <mc:AlternateContent>
          <mc:Choice Requires="wpg">
            <w:drawing>
              <wp:anchor distT="0" distB="0" distL="114300" distR="114300" simplePos="0" relativeHeight="251661312" behindDoc="0" locked="0" layoutInCell="1" allowOverlap="1" wp14:anchorId="57B1345A" wp14:editId="44323AC2">
                <wp:simplePos x="0" y="0"/>
                <wp:positionH relativeFrom="column">
                  <wp:posOffset>548640</wp:posOffset>
                </wp:positionH>
                <wp:positionV relativeFrom="paragraph">
                  <wp:posOffset>923925</wp:posOffset>
                </wp:positionV>
                <wp:extent cx="3631565" cy="2271395"/>
                <wp:effectExtent l="50800" t="0" r="635" b="65405"/>
                <wp:wrapNone/>
                <wp:docPr id="13" name="Group 13"/>
                <wp:cNvGraphicFramePr/>
                <a:graphic xmlns:a="http://schemas.openxmlformats.org/drawingml/2006/main">
                  <a:graphicData uri="http://schemas.microsoft.com/office/word/2010/wordprocessingGroup">
                    <wpg:wgp>
                      <wpg:cNvGrpSpPr/>
                      <wpg:grpSpPr>
                        <a:xfrm>
                          <a:off x="0" y="0"/>
                          <a:ext cx="3631565" cy="2271395"/>
                          <a:chOff x="0" y="0"/>
                          <a:chExt cx="3631565" cy="2271768"/>
                        </a:xfrm>
                      </wpg:grpSpPr>
                      <wps:wsp>
                        <wps:cNvPr id="14" name="Text Box 96"/>
                        <wps:cNvSpPr txBox="1">
                          <a:spLocks noChangeArrowheads="1"/>
                        </wps:cNvSpPr>
                        <wps:spPr bwMode="auto">
                          <a:xfrm>
                            <a:off x="1746885" y="1729528"/>
                            <a:ext cx="1884680" cy="438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BB3" w:rsidRPr="0083146C" w:rsidRDefault="00873BB3" w:rsidP="00873BB3">
                              <w:pPr>
                                <w:rPr>
                                  <w:rFonts w:ascii="Comic Sans MS" w:hAnsi="Comic Sans MS"/>
                                  <w:sz w:val="20"/>
                                </w:rPr>
                              </w:pPr>
                              <w:r w:rsidRPr="0083146C">
                                <w:rPr>
                                  <w:rFonts w:ascii="Comic Sans MS" w:hAnsi="Comic Sans MS"/>
                                  <w:sz w:val="20"/>
                                </w:rPr>
                                <w:t>Estimated concentration of unknown</w:t>
                              </w:r>
                            </w:p>
                          </w:txbxContent>
                        </wps:txbx>
                        <wps:bodyPr rot="0" vert="horz" wrap="square" lIns="91440" tIns="45720" rIns="91440" bIns="45720" anchor="t" anchorCtr="0" upright="1">
                          <a:noAutofit/>
                        </wps:bodyPr>
                      </wps:wsp>
                      <wps:wsp>
                        <wps:cNvPr id="15" name="Text Box 97"/>
                        <wps:cNvSpPr txBox="1">
                          <a:spLocks noChangeArrowheads="1"/>
                        </wps:cNvSpPr>
                        <wps:spPr bwMode="auto">
                          <a:xfrm>
                            <a:off x="183515" y="0"/>
                            <a:ext cx="1714857" cy="4419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BB3" w:rsidRPr="0083146C" w:rsidRDefault="00873BB3" w:rsidP="00873BB3">
                              <w:pPr>
                                <w:rPr>
                                  <w:rFonts w:ascii="Comic Sans MS" w:hAnsi="Comic Sans MS"/>
                                  <w:sz w:val="20"/>
                                </w:rPr>
                              </w:pPr>
                              <w:r w:rsidRPr="0083146C">
                                <w:rPr>
                                  <w:rFonts w:ascii="Comic Sans MS" w:hAnsi="Comic Sans MS"/>
                                  <w:sz w:val="20"/>
                                </w:rPr>
                                <w:t>Measured absorbance of unknown</w:t>
                              </w:r>
                            </w:p>
                          </w:txbxContent>
                        </wps:txbx>
                        <wps:bodyPr rot="0" vert="horz" wrap="square" lIns="91440" tIns="45720" rIns="91440" bIns="45720" anchor="t" anchorCtr="0" upright="1">
                          <a:noAutofit/>
                        </wps:bodyPr>
                      </wps:wsp>
                      <wps:wsp>
                        <wps:cNvPr id="122" name="Freeform 98"/>
                        <wps:cNvSpPr>
                          <a:spLocks/>
                        </wps:cNvSpPr>
                        <wps:spPr bwMode="auto">
                          <a:xfrm>
                            <a:off x="0" y="201295"/>
                            <a:ext cx="192405" cy="520700"/>
                          </a:xfrm>
                          <a:custGeom>
                            <a:avLst/>
                            <a:gdLst>
                              <a:gd name="T0" fmla="*/ 483 w 483"/>
                              <a:gd name="T1" fmla="*/ 0 h 955"/>
                              <a:gd name="T2" fmla="*/ 67 w 483"/>
                              <a:gd name="T3" fmla="*/ 124 h 955"/>
                              <a:gd name="T4" fmla="*/ 79 w 483"/>
                              <a:gd name="T5" fmla="*/ 530 h 955"/>
                              <a:gd name="T6" fmla="*/ 358 w 483"/>
                              <a:gd name="T7" fmla="*/ 623 h 955"/>
                              <a:gd name="T8" fmla="*/ 150 w 483"/>
                              <a:gd name="T9" fmla="*/ 955 h 955"/>
                            </a:gdLst>
                            <a:ahLst/>
                            <a:cxnLst>
                              <a:cxn ang="0">
                                <a:pos x="T0" y="T1"/>
                              </a:cxn>
                              <a:cxn ang="0">
                                <a:pos x="T2" y="T3"/>
                              </a:cxn>
                              <a:cxn ang="0">
                                <a:pos x="T4" y="T5"/>
                              </a:cxn>
                              <a:cxn ang="0">
                                <a:pos x="T6" y="T7"/>
                              </a:cxn>
                              <a:cxn ang="0">
                                <a:pos x="T8" y="T9"/>
                              </a:cxn>
                            </a:cxnLst>
                            <a:rect l="0" t="0" r="r" b="b"/>
                            <a:pathLst>
                              <a:path w="483" h="955">
                                <a:moveTo>
                                  <a:pt x="483" y="0"/>
                                </a:moveTo>
                                <a:cubicBezTo>
                                  <a:pt x="414" y="21"/>
                                  <a:pt x="134" y="36"/>
                                  <a:pt x="67" y="124"/>
                                </a:cubicBezTo>
                                <a:cubicBezTo>
                                  <a:pt x="0" y="212"/>
                                  <a:pt x="31" y="447"/>
                                  <a:pt x="79" y="530"/>
                                </a:cubicBezTo>
                                <a:cubicBezTo>
                                  <a:pt x="127" y="613"/>
                                  <a:pt x="346" y="552"/>
                                  <a:pt x="358" y="623"/>
                                </a:cubicBezTo>
                                <a:cubicBezTo>
                                  <a:pt x="370" y="694"/>
                                  <a:pt x="193" y="886"/>
                                  <a:pt x="150" y="955"/>
                                </a:cubicBezTo>
                              </a:path>
                            </a:pathLst>
                          </a:custGeom>
                          <a:noFill/>
                          <a:ln w="9525">
                            <a:solidFill>
                              <a:srgbClr val="000000"/>
                            </a:solidFill>
                            <a:round/>
                            <a:headEnd/>
                            <a:tailEnd type="triangle"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9"/>
                        <wps:cNvSpPr>
                          <a:spLocks/>
                        </wps:cNvSpPr>
                        <wps:spPr bwMode="auto">
                          <a:xfrm>
                            <a:off x="1647825" y="1886585"/>
                            <a:ext cx="143871" cy="385183"/>
                          </a:xfrm>
                          <a:custGeom>
                            <a:avLst/>
                            <a:gdLst>
                              <a:gd name="T0" fmla="*/ 360 w 360"/>
                              <a:gd name="T1" fmla="*/ 0 h 706"/>
                              <a:gd name="T2" fmla="*/ 138 w 360"/>
                              <a:gd name="T3" fmla="*/ 166 h 706"/>
                              <a:gd name="T4" fmla="*/ 291 w 360"/>
                              <a:gd name="T5" fmla="*/ 456 h 706"/>
                              <a:gd name="T6" fmla="*/ 0 w 360"/>
                              <a:gd name="T7" fmla="*/ 706 h 706"/>
                            </a:gdLst>
                            <a:ahLst/>
                            <a:cxnLst>
                              <a:cxn ang="0">
                                <a:pos x="T0" y="T1"/>
                              </a:cxn>
                              <a:cxn ang="0">
                                <a:pos x="T2" y="T3"/>
                              </a:cxn>
                              <a:cxn ang="0">
                                <a:pos x="T4" y="T5"/>
                              </a:cxn>
                              <a:cxn ang="0">
                                <a:pos x="T6" y="T7"/>
                              </a:cxn>
                            </a:cxnLst>
                            <a:rect l="0" t="0" r="r" b="b"/>
                            <a:pathLst>
                              <a:path w="360" h="706">
                                <a:moveTo>
                                  <a:pt x="360" y="0"/>
                                </a:moveTo>
                                <a:cubicBezTo>
                                  <a:pt x="323" y="23"/>
                                  <a:pt x="149" y="90"/>
                                  <a:pt x="138" y="166"/>
                                </a:cubicBezTo>
                                <a:cubicBezTo>
                                  <a:pt x="127" y="242"/>
                                  <a:pt x="314" y="366"/>
                                  <a:pt x="291" y="456"/>
                                </a:cubicBezTo>
                                <a:cubicBezTo>
                                  <a:pt x="268" y="546"/>
                                  <a:pt x="61" y="654"/>
                                  <a:pt x="0" y="706"/>
                                </a:cubicBezTo>
                              </a:path>
                            </a:pathLst>
                          </a:custGeom>
                          <a:noFill/>
                          <a:ln w="9525">
                            <a:solidFill>
                              <a:srgbClr val="000000"/>
                            </a:solidFill>
                            <a:round/>
                            <a:headEnd/>
                            <a:tailEnd type="triangle"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B1345A" id="Group 13" o:spid="_x0000_s1026" style="position:absolute;left:0;text-align:left;margin-left:43.2pt;margin-top:72.75pt;width:285.95pt;height:178.85pt;z-index:251661312" coordsize="36315,2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YP6wUAAPIVAAAOAAAAZHJzL2Uyb0RvYy54bWzsWNuO2zYQfS/QfyD0WMCxqLuM9QbZi4MC&#10;aRsg2w+gJdkSKosqJa+9KfrvPUNKsrTxJosNWqBt9sErUqPh8MzhnJEuXh93JbvPVFPIamnxV7bF&#10;siqRaVFtl9avd6tZZLGmFVUqSlllS+sha6zXl99/d3GoF5kjc1mmmWJwUjWLQ7208ratF/N5k+TZ&#10;TjSvZJ1VuLmRaidaDNV2nipxgPddOXdsO5gfpEprJZOsaTB7Y25al9r/ZpMl7S+bTZO1rFxaiK3V&#10;v0r/rul3fnkhFlsl6rxIujDEC6LYiaLCooOrG9EKtlfFJ652RaJkIzftq0Tu5nKzKZJM7wG74faj&#10;3bxVcl/rvWwXh209wARoH+H0YrfJz/fvFStS5M61WCV2yJFelmEMcA71dgGbt6r+UL9X3cTWjGi/&#10;x43a0X/shB01rA8DrNmxZQkm3cDlfuBbLME9xwm5G/sG+CRHdj55Lslvn3oyDCJ6ct4vPKf4hnAO&#10;NUjUnHBqvg6nD7moMw1/Qxj0OHk9Tne0wSt5ZHFgoNJmhBNrj5gHppoTTf1OJr81rJLXuai22Rul&#10;5CHPRIr4uN4OBY4V6FGCvFk05GR9+EmmyIfYt1I7egQ2D70gioArYOWhE/uOBkcseuB5FMECtCfg&#10;PTeKI2+CnljUqmnfZnLH6GJpKZwXvZK4f9e0BujehLLcyLJIV0VZ6oHarq9Lxe4FztZK/3XeJ2Zl&#10;RcaVpMeMRzODILEG3aNw9Vn5I+aOZ1858WwVROHM23j+LA7taGbz+CoObC/2blZ/dov0z4MCBi+D&#10;XHtcHzVNm8Vapg+AUUlz6lGlcJFL9dFiB5z4pdX8vhcqs1j5Y4VUxNzzqETogeeHDgZqfGc9viOq&#10;BK6WVmsxc3ndmrKyr1WxzbGSSX4l3yB9m0KjSaGaqMBhGoCtJuy/n7bgiTneJ9qGBCWF0XHvH6Jt&#10;5PrcsLarvwNfQ+5Fftjx1eOx8//gq6m/fTK+0XZcbR2n5+1KZRk1AizWZW7EW12NTJGlCjO5Q4Nn&#10;VVOcdpInm6OQUipGZRQ8tEFYqqK+Y4e2pu2gQWKR7E0VpYf6yolWIO3q2zbtTx7W2OxKNBg/zJkX&#10;uexAv2axkxEfGdksZ7HfxXMyASaDnyA87wZyPtigrJ53BC0bjML4vCPsfLDx3SciCkZGrh+d94ST&#10;PXgKHPd8SGgYByPu2+c9xSMj4HPyhKwMuIvciBgSdKy6XOAK9RoNlK11rpYNtR93Jvl3Ro21PeXy&#10;CWOgDybc6cRhPVh9xhgIk7FO4ReNgSIZ67r8RWMARcYx8ac3Nv+7vZKaP+57lcXQ964N52rREkQU&#10;PV2yA7oE8JHlEEOQjuZ38j67k9qiJaT0fSzbH4HT/WS/LpKr7OPEmpvtOxpYrKJ9cNfMurpt6mcD&#10;sAOOQdV+QxOH59x3R5Y73Xa0dxfnB348T6PYew/BGMyCv8/2zh0TUWA64d6T65ks+f50Wd/kA7x+&#10;9gpuaHYQxHrP/Qo8Rg4QbBRNAMJh0NNdPaBUjxDCkHKoqTDkVducatPQhIlFWVG20TKaNE86tmbc&#10;2Nn6r9vSxAwvJ1WqCyX1srfddSuKEtesfajRuraqwGkrM3RcS2uXpei1MrwnltvO4WdaQTu+jW4j&#10;b+Y5we3Ms9N09mZ17c2CFQ/9G/fm+vqGf6EV/CakEyEd3u9OQqprx0Qu0eN/rZDywAsj8EqfZnDY&#10;xyvKVE/xKhLilJKeupHPjQSCq/37zYv01A1IK/BrFjuJ5WM9De3uWJ1MxnrKXVKvM34mghoE0Jwz&#10;nlDZBvVyYn7e01hRPf8JT2NFfWJnYz1FLKeIgOV/TAWpkg0i/hJho4SSsFHOzgmbvg9C9vrweWFz&#10;UeWJ36bYD4XbMyoTdxzs5c4oAw8073RNHkvluIoPnjrtcbypyHR66hpXvTWIpqMBl7q6OvU5HZmo&#10;HHxJ0YoIOdOn00wHxlPgTxTJCE9H90cbwPCb8PRvGeZ1+t8iPPrrGT4s6qah+whKXy7HY1yPP9Ve&#10;/gUAAP//AwBQSwMEFAAGAAgAAAAhAK2nGzPhAAAACgEAAA8AAABkcnMvZG93bnJldi54bWxMj8Fq&#10;wzAMhu+DvYNRYbfVSVOHkMYppWw7lcHawdhNjdUkNLZD7Cbp2887bUdJH7++v9jOumMjDa61RkK8&#10;jICRqaxqTS3h8/T6nAFzHo3CzhqScCcH2/LxocBc2cl80Hj0NQshxuUoofG+zzl3VUMa3dL2ZMLt&#10;YgeNPoxDzdWAUwjXHV9FUco1tiZ8aLCnfUPV9XjTEt4mnHZJ/DIerpf9/fsk3r8OMUn5tJh3G2Ce&#10;Zv8Hw69+UIcyOJ3tzSjHOglZug5k2K+FABaAVGQJsLMEESUr4GXB/1cofwAAAP//AwBQSwECLQAU&#10;AAYACAAAACEAtoM4kv4AAADhAQAAEwAAAAAAAAAAAAAAAAAAAAAAW0NvbnRlbnRfVHlwZXNdLnht&#10;bFBLAQItABQABgAIAAAAIQA4/SH/1gAAAJQBAAALAAAAAAAAAAAAAAAAAC8BAABfcmVscy8ucmVs&#10;c1BLAQItABQABgAIAAAAIQAJwLYP6wUAAPIVAAAOAAAAAAAAAAAAAAAAAC4CAABkcnMvZTJvRG9j&#10;LnhtbFBLAQItABQABgAIAAAAIQCtpxsz4QAAAAoBAAAPAAAAAAAAAAAAAAAAAEUIAABkcnMvZG93&#10;bnJldi54bWxQSwUGAAAAAAQABADzAAAAUwkAAAAA&#10;">
                <v:shapetype id="_x0000_t202" coordsize="21600,21600" o:spt="202" path="m,l,21600r21600,l21600,xe">
                  <v:stroke joinstyle="miter"/>
                  <v:path gradientshapeok="t" o:connecttype="rect"/>
                </v:shapetype>
                <v:shape id="Text Box 96" o:spid="_x0000_s1027" type="#_x0000_t202" style="position:absolute;left:17468;top:17295;width:18847;height: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73BB3" w:rsidRPr="0083146C" w:rsidRDefault="00873BB3" w:rsidP="00873BB3">
                        <w:pPr>
                          <w:rPr>
                            <w:rFonts w:ascii="Comic Sans MS" w:hAnsi="Comic Sans MS"/>
                            <w:sz w:val="20"/>
                          </w:rPr>
                        </w:pPr>
                        <w:r w:rsidRPr="0083146C">
                          <w:rPr>
                            <w:rFonts w:ascii="Comic Sans MS" w:hAnsi="Comic Sans MS"/>
                            <w:sz w:val="20"/>
                          </w:rPr>
                          <w:t>Estimated concentration of unknown</w:t>
                        </w:r>
                      </w:p>
                    </w:txbxContent>
                  </v:textbox>
                </v:shape>
                <v:shape id="Text Box 97" o:spid="_x0000_s1028" type="#_x0000_t202" style="position:absolute;left:1835;width:17148;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873BB3" w:rsidRPr="0083146C" w:rsidRDefault="00873BB3" w:rsidP="00873BB3">
                        <w:pPr>
                          <w:rPr>
                            <w:rFonts w:ascii="Comic Sans MS" w:hAnsi="Comic Sans MS"/>
                            <w:sz w:val="20"/>
                          </w:rPr>
                        </w:pPr>
                        <w:r w:rsidRPr="0083146C">
                          <w:rPr>
                            <w:rFonts w:ascii="Comic Sans MS" w:hAnsi="Comic Sans MS"/>
                            <w:sz w:val="20"/>
                          </w:rPr>
                          <w:t>Measured absorbance of unknown</w:t>
                        </w:r>
                      </w:p>
                    </w:txbxContent>
                  </v:textbox>
                </v:shape>
                <v:shape id="Freeform 98" o:spid="_x0000_s1029" style="position:absolute;top:2012;width:1924;height:5207;visibility:visible;mso-wrap-style:square;v-text-anchor:top" coordsize="48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hPwwAAANwAAAAPAAAAZHJzL2Rvd25yZXYueG1sRE/NasJA&#10;EL4XfIdlBC+lbppCMdE1SGmkp0JtHmCSHbPR7GzIbjV9+25B8DYf3+9sisn24kKj7xwreF4mIIgb&#10;pztuFVTf5dMKhA/IGnvHpOCXPBTb2cMGc+2u/EWXQ2hFDGGfowITwpBL6RtDFv3SDcSRO7rRYohw&#10;bKUe8RrDbS/TJHmVFjuODQYHejPUnA8/VkFWvafHTPf7z/LR1KfsxdfOrZRazKfdGkSgKdzFN/eH&#10;jvPTFP6fiRfI7R8AAAD//wMAUEsBAi0AFAAGAAgAAAAhANvh9svuAAAAhQEAABMAAAAAAAAAAAAA&#10;AAAAAAAAAFtDb250ZW50X1R5cGVzXS54bWxQSwECLQAUAAYACAAAACEAWvQsW78AAAAVAQAACwAA&#10;AAAAAAAAAAAAAAAfAQAAX3JlbHMvLnJlbHNQSwECLQAUAAYACAAAACEA0nWIT8MAAADcAAAADwAA&#10;AAAAAAAAAAAAAAAHAgAAZHJzL2Rvd25yZXYueG1sUEsFBgAAAAADAAMAtwAAAPcCAAAAAA==&#10;" path="m483,c414,21,134,36,67,124,,212,31,447,79,530v48,83,267,22,279,93c370,694,193,886,150,955e" filled="f">
                  <v:stroke endarrow="block" endarrowlength="long"/>
                  <v:path arrowok="t" o:connecttype="custom" o:connectlocs="192405,0;26690,67609;31470,288975;142611,339682;59753,520700" o:connectangles="0,0,0,0,0"/>
                </v:shape>
                <v:shape id="Freeform 99" o:spid="_x0000_s1030" style="position:absolute;left:16478;top:18865;width:1438;height:3852;visibility:visible;mso-wrap-style:square;v-text-anchor:top" coordsize="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ot5wAAAANwAAAAPAAAAZHJzL2Rvd25yZXYueG1sRE9Li8Iw&#10;EL4L+x/CLOxN0+2CSNcoIgiLN1/gcWxm02IzqU208d8bQfA2H99zpvNoG3GjzteOFXyPMhDEpdM1&#10;GwX73Wo4AeEDssbGMSm4k4f57GMwxUK7njd02wYjUgj7AhVUIbSFlL6syKIfuZY4cf+usxgS7IzU&#10;HfYp3DYyz7KxtFhzaqiwpWVF5Xl7tQoaY3byMj7HU3YJ13XsD8cyXyn19RkXvyACxfAWv9x/Os3P&#10;f+D5TLpAzh4AAAD//wMAUEsBAi0AFAAGAAgAAAAhANvh9svuAAAAhQEAABMAAAAAAAAAAAAAAAAA&#10;AAAAAFtDb250ZW50X1R5cGVzXS54bWxQSwECLQAUAAYACAAAACEAWvQsW78AAAAVAQAACwAAAAAA&#10;AAAAAAAAAAAfAQAAX3JlbHMvLnJlbHNQSwECLQAUAAYACAAAACEAFWaLecAAAADcAAAADwAAAAAA&#10;AAAAAAAAAAAHAgAAZHJzL2Rvd25yZXYueG1sUEsFBgAAAAADAAMAtwAAAPQCAAAAAA==&#10;" path="m360,c323,23,149,90,138,166v-11,76,176,200,153,290c268,546,61,654,,706e" filled="f">
                  <v:stroke endarrow="block" endarrowlength="long"/>
                  <v:path arrowok="t" o:connecttype="custom" o:connectlocs="143871,0;55151,90567;116296,248787;0,385183" o:connectangles="0,0,0,0"/>
                </v:shape>
              </v:group>
            </w:pict>
          </mc:Fallback>
        </mc:AlternateContent>
      </w:r>
      <w:r>
        <w:rPr>
          <w:noProof/>
        </w:rPr>
        <mc:AlternateContent>
          <mc:Choice Requires="wps">
            <w:drawing>
              <wp:anchor distT="0" distB="0" distL="114300" distR="114300" simplePos="0" relativeHeight="251663360" behindDoc="0" locked="0" layoutInCell="1" allowOverlap="1" wp14:anchorId="56050B0D" wp14:editId="1A85E51D">
                <wp:simplePos x="0" y="0"/>
                <wp:positionH relativeFrom="column">
                  <wp:posOffset>420370</wp:posOffset>
                </wp:positionH>
                <wp:positionV relativeFrom="paragraph">
                  <wp:posOffset>1613848</wp:posOffset>
                </wp:positionV>
                <wp:extent cx="0" cy="132080"/>
                <wp:effectExtent l="10160" t="66040" r="35560" b="111760"/>
                <wp:wrapNone/>
                <wp:docPr id="29" name="Line 101"/>
                <wp:cNvGraphicFramePr/>
                <a:graphic xmlns:a="http://schemas.openxmlformats.org/drawingml/2006/main">
                  <a:graphicData uri="http://schemas.microsoft.com/office/word/2010/wordprocessingShape">
                    <wps:wsp>
                      <wps:cNvCnPr/>
                      <wps:spPr bwMode="auto">
                        <a:xfrm rot="5400000">
                          <a:off x="0" y="0"/>
                          <a:ext cx="0" cy="132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37961" id="Line 101" o:spid="_x0000_s1026" style="position:absolute;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pt,127.05pt" to="33.1pt,1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nk9gEAALMDAAAOAAAAZHJzL2Uyb0RvYy54bWysU9uO0zAQfUfiHyy/p7lsW9qo6QqlLS8L&#10;uxLwAa7tJJZ8k+02rRD/ztjpVgu8IfJgjcfHx3POTDaPFyXRmTsvjG5wOSsw4poaJnTf4O/fDtkK&#10;Ix+IZkQazRt85R4/bt+/24y25pUZjGTcISDRvh5tg4cQbJ3nng5cET8zlms47IxTJMDW9TlzZAR2&#10;JfOqKJb5aByzzlDuPWR30yHeJv6u4zQ8d53nAckGQ20hrS6tx7jm2w2pe0fsIOitDPIPVSgiNDx6&#10;p9qRQNDJib+olKDOeNOFGTUqN10nKE8aQE1Z/KHm60AsT1rAHG/vNvn/R0u/nF8cEqzB1RojTRT0&#10;6ElojsqijOaM1teAafWLu+28hQvH8bNhACWnYJLuS+cUcgb8XcyL+KUs6EOXZPb1bja/BESnJIVs&#10;+VAVq9SHnNSRJbponQ+fuFEoBg2WUFDiI+cnH6AOgL5CIlybg5AytVJqNDZ4vagW6YI3UrB4GGHe&#10;9cdWOnQmcRimKiey32DOnDRLZAMnbK8ZClcLWoMTRPeS4/iC4gwjyWHmY5TQgQgJ6IlR6vgiaIWC&#10;b9E0Dz/WxXq/2q/m2bxa7rN5wVj28dDOs+Wh/LDYPezadlf+jIwg8vV+HtsQjZ8acjTsmvqR8jAZ&#10;CXyb4jh6b/cQv/3Xtr8AAAD//wMAUEsDBBQABgAIAAAAIQCnbNqx3gAAAAkBAAAPAAAAZHJzL2Rv&#10;d25yZXYueG1sTI/BTsMwEETvlfoP1iJxqVqnFXFRiFMVSoXEjRDubrwkofY6it02/XuMhATHnR3N&#10;vMk3ozXsjIPvHElYLhJgSLXTHTUSqvf9/B6YD4q0Mo5QwhU9bIrpJFeZdhd6w3MZGhZDyGdKQhtC&#10;n3Hu6xat8gvXI8XfpxusCvEcGq4HdYnh1vBVkghuVUexoVU9PrVYH8uTlWD2VbM7mo9QbqvX64v4&#10;mj0/7lDK25tx+wAs4Bj+zPCDH9GhiEwHdyLtmZGQppE8SFiJuxRYNKyFAHb4FXiR8/8Lim8AAAD/&#10;/wMAUEsBAi0AFAAGAAgAAAAhALaDOJL+AAAA4QEAABMAAAAAAAAAAAAAAAAAAAAAAFtDb250ZW50&#10;X1R5cGVzXS54bWxQSwECLQAUAAYACAAAACEAOP0h/9YAAACUAQAACwAAAAAAAAAAAAAAAAAvAQAA&#10;X3JlbHMvLnJlbHNQSwECLQAUAAYACAAAACEA83555PYBAACzAwAADgAAAAAAAAAAAAAAAAAuAgAA&#10;ZHJzL2Uyb0RvYy54bWxQSwECLQAUAAYACAAAACEAp2zasd4AAAAJAQAADwAAAAAAAAAAAAAAAABQ&#10;BAAAZHJzL2Rvd25yZXYueG1sUEsFBgAAAAAEAAQA8wAAAFsFAAAAAA==&#10;">
                <v:stroke startarrow="block"/>
              </v:line>
            </w:pict>
          </mc:Fallback>
        </mc:AlternateContent>
      </w:r>
      <w:r>
        <w:rPr>
          <w:noProof/>
        </w:rPr>
        <mc:AlternateContent>
          <mc:Choice Requires="wps">
            <w:drawing>
              <wp:anchor distT="0" distB="0" distL="114300" distR="114300" simplePos="0" relativeHeight="251662336" behindDoc="0" locked="0" layoutInCell="1" allowOverlap="1" wp14:anchorId="1DB358E3" wp14:editId="0465BDA8">
                <wp:simplePos x="0" y="0"/>
                <wp:positionH relativeFrom="column">
                  <wp:posOffset>2184087</wp:posOffset>
                </wp:positionH>
                <wp:positionV relativeFrom="paragraph">
                  <wp:posOffset>3246120</wp:posOffset>
                </wp:positionV>
                <wp:extent cx="0" cy="180340"/>
                <wp:effectExtent l="50800" t="50800" r="76200" b="22860"/>
                <wp:wrapNone/>
                <wp:docPr id="28" name="Line 100"/>
                <wp:cNvGraphicFramePr/>
                <a:graphic xmlns:a="http://schemas.openxmlformats.org/drawingml/2006/main">
                  <a:graphicData uri="http://schemas.microsoft.com/office/word/2010/wordprocessingShape">
                    <wps:wsp>
                      <wps:cNvCnPr/>
                      <wps:spPr bwMode="auto">
                        <a:xfrm>
                          <a:off x="0" y="0"/>
                          <a:ext cx="0"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0CEAA" id="Line 10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pt,255.6pt" to="172pt,2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Kj7AEAAKUDAAAOAAAAZHJzL2Uyb0RvYy54bWysU8mO2zAMvRfoPwi6O14mSRMjzqBwkl6m&#10;nQE6/QBFkm0B2iApcYKi/15KWTCd3or6IFAU+cj3SK8eT0qiI3deGN3gclJgxDU1TOi+wT9ed9kC&#10;Ix+IZkQazRt85h4/rj9+WI225pUZjGTcIQDRvh5tg4cQbJ3nng5cET8xlmt47IxTJMDV9TlzZAR0&#10;JfOqKOb5aByzzlDuPXg3l0e8Tvhdx2l47jrPA5INht5COl069/HM1ytS947YQdBrG+QfulBEaCh6&#10;h9qQQNDBib+glKDOeNOFCTUqN10nKE8cgE1ZvGPzfSCWJy4gjrd3mfz/g6Xfji8OCdbgCialiYIZ&#10;PQnNUVkkcUbra4hp9YsDqeLNW0jYj18Ng1ByCCbxPnVORf7ACJ2SvOe7vPwUEL04KXjLRfEwTeA5&#10;qW951vnwhRuFotFgCS0kXHJ88gEqQ+gtJJbRZiekTMOTGo0NXs6qWUrwRgoWH2OYd/2+lQ4dSRx/&#10;+uLEAeyPMGcOmiWwgRO21QyFswV2wQmie8lxrKA4w0hy2PJopehAhIToC6LUsSJwhYav1mUDfi6L&#10;5XaxXUyzaTXfZtOCsezzrp1m8135abZ52LTtpvx17euWn9+kvoi+N+ycJpD8sAuJxHVv47K9vYP9&#10;9u9a/wYAAP//AwBQSwMEFAAGAAgAAAAhADlK+/XhAAAACwEAAA8AAABkcnMvZG93bnJldi54bWxM&#10;j0FPwkAQhe8m/IfNkHiTbQEJ1G4JwaAk9SJ64bZ0h7bYnW26C5R/7xgPepw3L+99L132thEX7Hzt&#10;SEE8ikAgFc7UVCr4/Ng8zEH4oMnoxhEquKGHZTa4S3Vi3JXe8bILpeAQ8olWUIXQJlL6okKr/ci1&#10;SPw7us7qwGdXStPpK4fbRo6jaCatrokbKt3iusLia3e2CrYvxfz19rbP14tTXsvNc77frnKl7of9&#10;6glEwD78meEHn9EhY6aDO5PxolEwmU55S1DwGMdjEOz4VQ6sTBYzkFkq/2/IvgEAAP//AwBQSwEC&#10;LQAUAAYACAAAACEAtoM4kv4AAADhAQAAEwAAAAAAAAAAAAAAAAAAAAAAW0NvbnRlbnRfVHlwZXNd&#10;LnhtbFBLAQItABQABgAIAAAAIQA4/SH/1gAAAJQBAAALAAAAAAAAAAAAAAAAAC8BAABfcmVscy8u&#10;cmVsc1BLAQItABQABgAIAAAAIQDHIVKj7AEAAKUDAAAOAAAAAAAAAAAAAAAAAC4CAABkcnMvZTJv&#10;RG9jLnhtbFBLAQItABQABgAIAAAAIQA5Svv14QAAAAsBAAAPAAAAAAAAAAAAAAAAAEYEAABkcnMv&#10;ZG93bnJldi54bWxQSwUGAAAAAAQABADzAAAAVAUAAAAA&#10;">
                <v:stroke startarrow="block"/>
              </v:line>
            </w:pict>
          </mc:Fallback>
        </mc:AlternateContent>
      </w:r>
      <w:r>
        <w:rPr>
          <w:noProof/>
        </w:rPr>
        <w:drawing>
          <wp:inline distT="0" distB="0" distL="0" distR="0" wp14:anchorId="4E298A8E" wp14:editId="2AB55017">
            <wp:extent cx="5486400" cy="3730625"/>
            <wp:effectExtent l="0" t="0" r="0" b="0"/>
            <wp:docPr id="132" name="Chart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3BB3" w:rsidRDefault="00873BB3" w:rsidP="00873BB3">
      <w:pPr>
        <w:pStyle w:val="Caption"/>
        <w:ind w:left="576" w:right="576"/>
      </w:pPr>
      <w:bookmarkStart w:id="56" w:name="_Ref267654397"/>
      <w:r>
        <w:t xml:space="preserve">Figure </w:t>
      </w:r>
      <w:r w:rsidR="00D7173A">
        <w:rPr>
          <w:noProof/>
        </w:rPr>
        <w:fldChar w:fldCharType="begin"/>
      </w:r>
      <w:r w:rsidR="00D7173A">
        <w:rPr>
          <w:noProof/>
        </w:rPr>
        <w:instrText xml:space="preserve"> SEQ Figure \* ARABIC </w:instrText>
      </w:r>
      <w:r w:rsidR="00D7173A">
        <w:rPr>
          <w:noProof/>
        </w:rPr>
        <w:fldChar w:fldCharType="separate"/>
      </w:r>
      <w:r w:rsidR="00F56459">
        <w:rPr>
          <w:noProof/>
        </w:rPr>
        <w:t>3</w:t>
      </w:r>
      <w:r w:rsidR="00D7173A">
        <w:rPr>
          <w:noProof/>
        </w:rPr>
        <w:fldChar w:fldCharType="end"/>
      </w:r>
      <w:bookmarkEnd w:id="55"/>
      <w:bookmarkEnd w:id="56"/>
      <w:r>
        <w:t xml:space="preserve">.  </w:t>
      </w:r>
      <w:r>
        <w:rPr>
          <w:b w:val="0"/>
        </w:rPr>
        <w:t>S</w:t>
      </w:r>
      <w:r w:rsidRPr="00847600">
        <w:rPr>
          <w:b w:val="0"/>
        </w:rPr>
        <w:t xml:space="preserve">tandard curve.  A straight line is fitted to points plotted of the absorbance readings from solutions of known concentration.  The dashed line shows how to estimate the concentration of a solution giving a reading of </w:t>
      </w:r>
      <w:r>
        <w:rPr>
          <w:b w:val="0"/>
        </w:rPr>
        <w:t xml:space="preserve">about </w:t>
      </w:r>
      <w:r w:rsidRPr="00847600">
        <w:rPr>
          <w:b w:val="0"/>
        </w:rPr>
        <w:t>7.  Note that the line is used, not the individual data points.</w:t>
      </w:r>
    </w:p>
    <w:p w:rsidR="00222247" w:rsidRPr="0056724A" w:rsidRDefault="00222247" w:rsidP="00222247"/>
    <w:p w:rsidR="0056724A" w:rsidRPr="0056724A" w:rsidRDefault="0056724A">
      <w:pPr>
        <w:rPr>
          <w:rFonts w:eastAsia="Times New Roman" w:cs="Times New Roman"/>
          <w:b/>
          <w:sz w:val="26"/>
          <w:szCs w:val="28"/>
        </w:rPr>
      </w:pPr>
      <w:bookmarkStart w:id="57" w:name="_Ref208037603"/>
      <w:r w:rsidRPr="0056724A">
        <w:rPr>
          <w:rFonts w:cs="Times New Roman"/>
        </w:rPr>
        <w:br w:type="page"/>
      </w:r>
    </w:p>
    <w:p w:rsidR="00AA17F1" w:rsidRPr="0056724A" w:rsidRDefault="00AA17F1" w:rsidP="00AA17F1">
      <w:pPr>
        <w:pStyle w:val="Heading4"/>
        <w:rPr>
          <w:rFonts w:ascii="Times New Roman" w:hAnsi="Times New Roman" w:cs="Times New Roman"/>
        </w:rPr>
      </w:pPr>
      <w:r w:rsidRPr="0056724A">
        <w:rPr>
          <w:rFonts w:ascii="Times New Roman" w:hAnsi="Times New Roman" w:cs="Times New Roman"/>
        </w:rPr>
        <w:lastRenderedPageBreak/>
        <w:t>3.  Count cells in the hemocytometer</w:t>
      </w:r>
      <w:bookmarkEnd w:id="57"/>
    </w:p>
    <w:p w:rsidR="00AA17F1" w:rsidRPr="0056724A" w:rsidRDefault="00AA17F1" w:rsidP="00AA17F1">
      <w:pPr>
        <w:rPr>
          <w:rFonts w:cs="Times New Roman"/>
        </w:rPr>
      </w:pPr>
      <w:r w:rsidRPr="0056724A">
        <w:rPr>
          <w:rFonts w:cs="Times New Roman"/>
        </w:rPr>
        <w:t xml:space="preserve">The hemocytometer has precisely calibrated volumes that are very small, as illustrated </w:t>
      </w:r>
      <w:proofErr w:type="gramStart"/>
      <w:r w:rsidRPr="0056724A">
        <w:rPr>
          <w:rFonts w:cs="Times New Roman"/>
        </w:rPr>
        <w:t xml:space="preserve">in  </w:t>
      </w:r>
      <w:proofErr w:type="gramEnd"/>
      <w:r w:rsidRPr="0056724A">
        <w:rPr>
          <w:rFonts w:cs="Times New Roman"/>
        </w:rPr>
        <w:fldChar w:fldCharType="begin"/>
      </w:r>
      <w:r w:rsidRPr="0056724A">
        <w:rPr>
          <w:rFonts w:cs="Times New Roman"/>
        </w:rPr>
        <w:instrText xml:space="preserve"> REF _Ref177284318 \h </w:instrText>
      </w:r>
      <w:r w:rsidR="0056724A">
        <w:rPr>
          <w:rFonts w:cs="Times New Roman"/>
        </w:rPr>
        <w:instrText xml:space="preserve"> \* MERGEFORMAT </w:instrText>
      </w:r>
      <w:r w:rsidRPr="0056724A">
        <w:rPr>
          <w:rFonts w:cs="Times New Roman"/>
        </w:rPr>
      </w:r>
      <w:r w:rsidRPr="0056724A">
        <w:rPr>
          <w:rFonts w:cs="Times New Roman"/>
        </w:rPr>
        <w:fldChar w:fldCharType="separate"/>
      </w:r>
      <w:r w:rsidR="00F56459" w:rsidRPr="00F56459">
        <w:rPr>
          <w:rFonts w:cs="Times New Roman"/>
        </w:rPr>
        <w:t xml:space="preserve">Figure </w:t>
      </w:r>
      <w:r w:rsidR="00F56459" w:rsidRPr="00F56459">
        <w:rPr>
          <w:rFonts w:cs="Times New Roman"/>
          <w:noProof/>
        </w:rPr>
        <w:t>4</w:t>
      </w:r>
      <w:r w:rsidRPr="0056724A">
        <w:rPr>
          <w:rFonts w:cs="Times New Roman"/>
        </w:rPr>
        <w:fldChar w:fldCharType="end"/>
      </w:r>
      <w:r w:rsidRPr="0056724A">
        <w:rPr>
          <w:rFonts w:cs="Times New Roman"/>
        </w:rPr>
        <w:t>.  We can count how many cells there are in one of these areas and calculate cell density from that number.</w:t>
      </w:r>
    </w:p>
    <w:tbl>
      <w:tblPr>
        <w:tblW w:w="9240" w:type="dxa"/>
        <w:jc w:val="center"/>
        <w:tblLook w:val="00A0" w:firstRow="1" w:lastRow="0" w:firstColumn="1" w:lastColumn="0" w:noHBand="0" w:noVBand="0"/>
      </w:tblPr>
      <w:tblGrid>
        <w:gridCol w:w="4857"/>
        <w:gridCol w:w="4383"/>
      </w:tblGrid>
      <w:tr w:rsidR="00AA17F1" w:rsidRPr="0056724A" w:rsidTr="00A86C28">
        <w:trPr>
          <w:jc w:val="center"/>
        </w:trPr>
        <w:tc>
          <w:tcPr>
            <w:tcW w:w="0" w:type="auto"/>
            <w:vAlign w:val="center"/>
          </w:tcPr>
          <w:p w:rsidR="00AA17F1" w:rsidRPr="0056724A" w:rsidRDefault="00AA17F1" w:rsidP="00A86C28">
            <w:pPr>
              <w:pStyle w:val="figure"/>
              <w:spacing w:after="0"/>
              <w:rPr>
                <w:lang w:bidi="x-none"/>
              </w:rPr>
            </w:pPr>
            <w:r w:rsidRPr="0056724A">
              <w:rPr>
                <w:noProof/>
              </w:rPr>
              <w:drawing>
                <wp:inline distT="0" distB="0" distL="0" distR="0" wp14:anchorId="08CE486B" wp14:editId="6CBCDDFA">
                  <wp:extent cx="2453640" cy="1539240"/>
                  <wp:effectExtent l="0" t="0" r="10160" b="10160"/>
                  <wp:docPr id="22" name="Picture 22" descr="scan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043"/>
                          <pic:cNvPicPr>
                            <a:picLocks noChangeAspect="1" noChangeArrowheads="1"/>
                          </pic:cNvPicPr>
                        </pic:nvPicPr>
                        <pic:blipFill>
                          <a:blip r:embed="rId17" cstate="print">
                            <a:extLst>
                              <a:ext uri="{28A0092B-C50C-407E-A947-70E740481C1C}">
                                <a14:useLocalDpi xmlns:a14="http://schemas.microsoft.com/office/drawing/2010/main" val="0"/>
                              </a:ext>
                            </a:extLst>
                          </a:blip>
                          <a:srcRect l="14285" t="60428" r="6564"/>
                          <a:stretch>
                            <a:fillRect/>
                          </a:stretch>
                        </pic:blipFill>
                        <pic:spPr bwMode="auto">
                          <a:xfrm>
                            <a:off x="0" y="0"/>
                            <a:ext cx="2453640" cy="1539240"/>
                          </a:xfrm>
                          <a:prstGeom prst="rect">
                            <a:avLst/>
                          </a:prstGeom>
                          <a:noFill/>
                          <a:ln>
                            <a:noFill/>
                          </a:ln>
                        </pic:spPr>
                      </pic:pic>
                    </a:graphicData>
                  </a:graphic>
                </wp:inline>
              </w:drawing>
            </w:r>
          </w:p>
        </w:tc>
        <w:tc>
          <w:tcPr>
            <w:tcW w:w="0" w:type="auto"/>
            <w:vAlign w:val="center"/>
          </w:tcPr>
          <w:p w:rsidR="00AA17F1" w:rsidRPr="0056724A" w:rsidRDefault="00AA17F1" w:rsidP="00A86C28">
            <w:pPr>
              <w:pStyle w:val="figure"/>
              <w:spacing w:after="0"/>
              <w:rPr>
                <w:lang w:bidi="x-none"/>
              </w:rPr>
            </w:pPr>
            <w:r w:rsidRPr="0056724A">
              <w:rPr>
                <w:noProof/>
              </w:rPr>
              <w:drawing>
                <wp:inline distT="0" distB="0" distL="0" distR="0" wp14:anchorId="249CA700" wp14:editId="28BF631F">
                  <wp:extent cx="2209800" cy="1661160"/>
                  <wp:effectExtent l="0" t="0" r="0" b="0"/>
                  <wp:docPr id="23" name="Picture 23" descr="scan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n043"/>
                          <pic:cNvPicPr>
                            <a:picLocks noChangeAspect="1" noChangeArrowheads="1"/>
                          </pic:cNvPicPr>
                        </pic:nvPicPr>
                        <pic:blipFill>
                          <a:blip r:embed="rId18" cstate="print">
                            <a:extLst>
                              <a:ext uri="{BEBA8EAE-BF5A-486C-A8C5-ECC9F3942E4B}">
                                <a14:imgProps xmlns:a14="http://schemas.microsoft.com/office/drawing/2010/main">
                                  <a14:imgLayer r:embed="rId19">
                                    <a14:imgEffect>
                                      <a14:brightnessContrast contrast="93000"/>
                                    </a14:imgEffect>
                                  </a14:imgLayer>
                                </a14:imgProps>
                              </a:ext>
                              <a:ext uri="{28A0092B-C50C-407E-A947-70E740481C1C}">
                                <a14:useLocalDpi xmlns:a14="http://schemas.microsoft.com/office/drawing/2010/main" val="0"/>
                              </a:ext>
                            </a:extLst>
                          </a:blip>
                          <a:srcRect l="14166" t="6104" r="12613" b="50339"/>
                          <a:stretch>
                            <a:fillRect/>
                          </a:stretch>
                        </pic:blipFill>
                        <pic:spPr bwMode="auto">
                          <a:xfrm>
                            <a:off x="0" y="0"/>
                            <a:ext cx="2209800" cy="1661160"/>
                          </a:xfrm>
                          <a:prstGeom prst="rect">
                            <a:avLst/>
                          </a:prstGeom>
                          <a:noFill/>
                          <a:ln>
                            <a:noFill/>
                          </a:ln>
                        </pic:spPr>
                      </pic:pic>
                    </a:graphicData>
                  </a:graphic>
                </wp:inline>
              </w:drawing>
            </w:r>
          </w:p>
        </w:tc>
      </w:tr>
    </w:tbl>
    <w:p w:rsidR="00AA17F1" w:rsidRPr="0056724A" w:rsidRDefault="00AA17F1" w:rsidP="00AA17F1">
      <w:pPr>
        <w:pStyle w:val="Caption"/>
        <w:rPr>
          <w:b w:val="0"/>
        </w:rPr>
      </w:pPr>
      <w:bookmarkStart w:id="58" w:name="_Ref177284318"/>
      <w:bookmarkStart w:id="59" w:name="_Ref293233850"/>
      <w:r w:rsidRPr="0056724A">
        <w:t xml:space="preserve">Figure </w:t>
      </w:r>
      <w:r w:rsidR="00D7173A">
        <w:rPr>
          <w:noProof/>
        </w:rPr>
        <w:fldChar w:fldCharType="begin"/>
      </w:r>
      <w:r w:rsidR="00D7173A">
        <w:rPr>
          <w:noProof/>
        </w:rPr>
        <w:instrText xml:space="preserve"> SEQ Figure \* ARABIC </w:instrText>
      </w:r>
      <w:r w:rsidR="00D7173A">
        <w:rPr>
          <w:noProof/>
        </w:rPr>
        <w:fldChar w:fldCharType="separate"/>
      </w:r>
      <w:r w:rsidR="00F56459">
        <w:rPr>
          <w:noProof/>
        </w:rPr>
        <w:t>4</w:t>
      </w:r>
      <w:r w:rsidR="00D7173A">
        <w:rPr>
          <w:noProof/>
        </w:rPr>
        <w:fldChar w:fldCharType="end"/>
      </w:r>
      <w:bookmarkEnd w:id="58"/>
      <w:r w:rsidRPr="0056724A">
        <w:t xml:space="preserve">.  </w:t>
      </w:r>
      <w:r w:rsidRPr="0056724A">
        <w:rPr>
          <w:b w:val="0"/>
        </w:rPr>
        <w:t xml:space="preserve">The </w:t>
      </w:r>
      <w:proofErr w:type="spellStart"/>
      <w:r w:rsidRPr="0056724A">
        <w:rPr>
          <w:b w:val="0"/>
        </w:rPr>
        <w:t>iN</w:t>
      </w:r>
      <w:proofErr w:type="spellEnd"/>
      <w:r w:rsidRPr="0056724A">
        <w:rPr>
          <w:b w:val="0"/>
        </w:rPr>
        <w:t xml:space="preserve"> </w:t>
      </w:r>
      <w:proofErr w:type="spellStart"/>
      <w:r w:rsidRPr="0056724A">
        <w:rPr>
          <w:b w:val="0"/>
        </w:rPr>
        <w:t>Cyto</w:t>
      </w:r>
      <w:proofErr w:type="spellEnd"/>
      <w:r w:rsidRPr="0056724A">
        <w:rPr>
          <w:b w:val="0"/>
        </w:rPr>
        <w:t xml:space="preserve"> </w:t>
      </w:r>
      <w:r w:rsidR="00E34F09">
        <w:rPr>
          <w:b w:val="0"/>
        </w:rPr>
        <w:t xml:space="preserve">disposable hemocytometer is a 1 x </w:t>
      </w:r>
      <w:r w:rsidRPr="0056724A">
        <w:rPr>
          <w:b w:val="0"/>
        </w:rPr>
        <w:t xml:space="preserve">3-inch microscope slide (left), but has an attached coverslip with gridlines that define the counting volume.  Each slide has two </w:t>
      </w:r>
      <w:r w:rsidRPr="0056724A">
        <w:t>counting areas</w:t>
      </w:r>
      <w:r w:rsidRPr="0056724A">
        <w:rPr>
          <w:b w:val="0"/>
        </w:rPr>
        <w:t xml:space="preserve"> (for two samples).  When 10 </w:t>
      </w:r>
      <w:r w:rsidR="00E34F09">
        <w:t>µ</w:t>
      </w:r>
      <w:r w:rsidRPr="0056724A">
        <w:rPr>
          <w:b w:val="0"/>
        </w:rPr>
        <w:t xml:space="preserve">L of liquid cell suspension is introduced at the </w:t>
      </w:r>
      <w:r w:rsidRPr="0056724A">
        <w:t>sample injection port</w:t>
      </w:r>
      <w:r w:rsidRPr="0056724A">
        <w:rPr>
          <w:b w:val="0"/>
        </w:rPr>
        <w:t>, capillary action draws the culture liquid into the counting area (expanded at right).  The counting area is an array of squares and rectangles. Volumes are calibrated in mm</w:t>
      </w:r>
      <w:r w:rsidRPr="0056724A">
        <w:rPr>
          <w:b w:val="0"/>
          <w:vertAlign w:val="superscript"/>
        </w:rPr>
        <w:t>3</w:t>
      </w:r>
      <w:r w:rsidRPr="0056724A">
        <w:rPr>
          <w:b w:val="0"/>
        </w:rPr>
        <w:t xml:space="preserve"> (length</w:t>
      </w:r>
      <w:r w:rsidRPr="0056724A">
        <w:rPr>
          <w:b w:val="0"/>
          <w:i/>
        </w:rPr>
        <w:t xml:space="preserve"> x </w:t>
      </w:r>
      <w:r w:rsidRPr="0056724A">
        <w:rPr>
          <w:b w:val="0"/>
        </w:rPr>
        <w:t xml:space="preserve">width </w:t>
      </w:r>
      <w:r w:rsidRPr="0056724A">
        <w:rPr>
          <w:b w:val="0"/>
          <w:i/>
        </w:rPr>
        <w:t>x</w:t>
      </w:r>
      <w:r w:rsidRPr="0056724A">
        <w:rPr>
          <w:b w:val="0"/>
        </w:rPr>
        <w:t xml:space="preserve"> depth).  The depth of the counting area is 0.1 mm.  (Image: </w:t>
      </w:r>
      <w:hyperlink r:id="rId20" w:history="1">
        <w:r w:rsidRPr="0056724A">
          <w:rPr>
            <w:rStyle w:val="Hyperlink"/>
            <w:b w:val="0"/>
          </w:rPr>
          <w:t>http://www.incyto.com</w:t>
        </w:r>
      </w:hyperlink>
      <w:r w:rsidRPr="0056724A">
        <w:rPr>
          <w:b w:val="0"/>
        </w:rPr>
        <w:t>).</w:t>
      </w:r>
      <w:bookmarkEnd w:id="59"/>
    </w:p>
    <w:p w:rsidR="00AA17F1" w:rsidRPr="0056724A" w:rsidRDefault="00AA17F1" w:rsidP="005271FD">
      <w:pPr>
        <w:jc w:val="both"/>
        <w:rPr>
          <w:rFonts w:cs="Times New Roman"/>
        </w:rPr>
      </w:pPr>
      <w:r w:rsidRPr="0056724A">
        <w:rPr>
          <w:rFonts w:cs="Times New Roman"/>
          <w:b/>
        </w:rPr>
        <w:t>Calculate</w:t>
      </w:r>
      <w:r w:rsidRPr="0056724A">
        <w:rPr>
          <w:rFonts w:cs="Times New Roman"/>
        </w:rPr>
        <w:t xml:space="preserve"> the volume of the entire counting area.  </w:t>
      </w:r>
      <w:r w:rsidRPr="0056724A">
        <w:rPr>
          <w:rFonts w:cs="Times New Roman"/>
          <w:b/>
        </w:rPr>
        <w:t>Calculate</w:t>
      </w:r>
      <w:r w:rsidRPr="0056724A">
        <w:rPr>
          <w:rFonts w:cs="Times New Roman"/>
        </w:rPr>
        <w:t xml:space="preserve"> the volume of the tiniest area.</w:t>
      </w:r>
      <w:r w:rsidR="00E34F09">
        <w:rPr>
          <w:rFonts w:cs="Times New Roman"/>
        </w:rPr>
        <w:t xml:space="preserve"> Show these calculations in your notebook.</w:t>
      </w:r>
    </w:p>
    <w:p w:rsidR="00AA17F1" w:rsidRPr="0056724A" w:rsidRDefault="00E34F09" w:rsidP="005271FD">
      <w:pPr>
        <w:jc w:val="both"/>
        <w:rPr>
          <w:rFonts w:cs="Times New Roman"/>
        </w:rPr>
      </w:pPr>
      <w:r>
        <w:rPr>
          <w:rFonts w:cs="Times New Roman"/>
        </w:rPr>
        <w:t xml:space="preserve">Make sure that you can focus on an empty hemocytometer and find the squares. Once you </w:t>
      </w:r>
      <w:r w:rsidR="00AA17F1" w:rsidRPr="0056724A">
        <w:rPr>
          <w:rFonts w:cs="Times New Roman"/>
        </w:rPr>
        <w:t>have successfully examined an empty hemocytometer with your microscope, proceed to the counting procedure:</w:t>
      </w:r>
    </w:p>
    <w:p w:rsidR="00E34F09" w:rsidRDefault="00E34F09">
      <w:pPr>
        <w:rPr>
          <w:rFonts w:cs="Times New Roman"/>
          <w:b/>
          <w:i/>
        </w:rPr>
      </w:pPr>
      <w:r>
        <w:rPr>
          <w:rFonts w:cs="Times New Roman"/>
          <w:b/>
          <w:i/>
        </w:rPr>
        <w:br w:type="page"/>
      </w:r>
    </w:p>
    <w:p w:rsidR="00AA17F1" w:rsidRPr="0056724A" w:rsidRDefault="00AA17F1" w:rsidP="00AA17F1">
      <w:pPr>
        <w:rPr>
          <w:rFonts w:cs="Times New Roman"/>
          <w:b/>
          <w:i/>
        </w:rPr>
      </w:pPr>
      <w:r w:rsidRPr="0056724A">
        <w:rPr>
          <w:rFonts w:cs="Times New Roman"/>
          <w:b/>
          <w:i/>
        </w:rPr>
        <w:lastRenderedPageBreak/>
        <w:t>Keep all tubes with cells on ice!</w:t>
      </w:r>
    </w:p>
    <w:p w:rsidR="00AA17F1" w:rsidRPr="0056724A" w:rsidRDefault="00AA17F1" w:rsidP="00AA17F1">
      <w:pPr>
        <w:pStyle w:val="ListParagraph"/>
        <w:numPr>
          <w:ilvl w:val="0"/>
          <w:numId w:val="5"/>
        </w:numPr>
        <w:contextualSpacing w:val="0"/>
        <w:jc w:val="both"/>
      </w:pPr>
      <w:r w:rsidRPr="0056724A">
        <w:t xml:space="preserve">Pick a culture with the highest concentration that is just barely out of the noise.  Refer to the section on the art of the standard curve (p. </w:t>
      </w:r>
      <w:r w:rsidRPr="0056724A">
        <w:fldChar w:fldCharType="begin"/>
      </w:r>
      <w:r w:rsidRPr="0056724A">
        <w:instrText xml:space="preserve"> PAGEREF _Ref280019583 \h </w:instrText>
      </w:r>
      <w:r w:rsidRPr="0056724A">
        <w:fldChar w:fldCharType="separate"/>
      </w:r>
      <w:r w:rsidR="00F56459">
        <w:rPr>
          <w:noProof/>
        </w:rPr>
        <w:t>7</w:t>
      </w:r>
      <w:r w:rsidRPr="0056724A">
        <w:fldChar w:fldCharType="end"/>
      </w:r>
      <w:r w:rsidRPr="0056724A">
        <w:t xml:space="preserve">) for a review of the meaning of </w:t>
      </w:r>
      <w:r w:rsidRPr="0056724A">
        <w:rPr>
          <w:i/>
        </w:rPr>
        <w:t>noise</w:t>
      </w:r>
      <w:r w:rsidRPr="0056724A">
        <w:t>.</w:t>
      </w:r>
    </w:p>
    <w:tbl>
      <w:tblPr>
        <w:tblW w:w="9096" w:type="dxa"/>
        <w:tblInd w:w="93" w:type="dxa"/>
        <w:tblLook w:val="04A0" w:firstRow="1" w:lastRow="0" w:firstColumn="1" w:lastColumn="0" w:noHBand="0" w:noVBand="1"/>
      </w:tblPr>
      <w:tblGrid>
        <w:gridCol w:w="1384"/>
        <w:gridCol w:w="1300"/>
        <w:gridCol w:w="6412"/>
      </w:tblGrid>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dilution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OD</w:t>
            </w:r>
          </w:p>
        </w:tc>
        <w:tc>
          <w:tcPr>
            <w:tcW w:w="6412" w:type="dxa"/>
            <w:vMerge w:val="restart"/>
            <w:tcBorders>
              <w:top w:val="nil"/>
              <w:left w:val="single" w:sz="4" w:space="0" w:color="auto"/>
              <w:right w:val="nil"/>
            </w:tcBorders>
          </w:tcPr>
          <w:p w:rsidR="00AA17F1" w:rsidRPr="0056724A" w:rsidRDefault="00AA17F1" w:rsidP="00A86C28">
            <w:pPr>
              <w:spacing w:after="0"/>
              <w:rPr>
                <w:rFonts w:cs="Times New Roman"/>
              </w:rPr>
            </w:pPr>
            <w:r w:rsidRPr="0056724A">
              <w:rPr>
                <w:rFonts w:cs="Times New Roman"/>
              </w:rPr>
              <w:t>By way of illustration,</w:t>
            </w:r>
            <w:r w:rsidRPr="0056724A">
              <w:rPr>
                <w:rFonts w:cs="Times New Roman"/>
                <w:color w:val="000000"/>
              </w:rPr>
              <w:t xml:space="preserve"> </w:t>
            </w:r>
            <w:r w:rsidRPr="0056724A">
              <w:rPr>
                <w:rFonts w:cs="Times New Roman"/>
              </w:rPr>
              <w:t>here is a set of data and the lowest part of the graph created from them, including the trend line.</w:t>
            </w:r>
          </w:p>
          <w:p w:rsidR="00AA17F1" w:rsidRPr="0056724A" w:rsidRDefault="0056724A" w:rsidP="00A86C28">
            <w:pPr>
              <w:spacing w:after="0"/>
              <w:rPr>
                <w:rFonts w:cs="Times New Roman"/>
                <w:color w:val="000000"/>
              </w:rPr>
            </w:pPr>
            <w:r w:rsidRPr="0056724A">
              <w:rPr>
                <w:rFonts w:cs="Times New Roman"/>
                <w:noProof/>
              </w:rPr>
              <w:drawing>
                <wp:inline distT="0" distB="0" distL="0" distR="0" wp14:anchorId="22E35C92" wp14:editId="07632323">
                  <wp:extent cx="3731433" cy="2371667"/>
                  <wp:effectExtent l="0" t="0" r="2540" b="1016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17F1" w:rsidRPr="0056724A" w:rsidRDefault="00AA17F1" w:rsidP="00A86C28">
            <w:pPr>
              <w:rPr>
                <w:rFonts w:cs="Times New Roman"/>
              </w:rPr>
            </w:pPr>
          </w:p>
          <w:p w:rsidR="00AA17F1" w:rsidRPr="0056724A" w:rsidRDefault="00AA17F1" w:rsidP="00A86C28">
            <w:pPr>
              <w:rPr>
                <w:rFonts w:cs="Times New Roman"/>
                <w:color w:val="000000"/>
              </w:rPr>
            </w:pPr>
            <w:r w:rsidRPr="0056724A">
              <w:rPr>
                <w:rFonts w:cs="Times New Roman"/>
              </w:rPr>
              <w:t>Notice how the points below a cell culture fraction of about 0.03</w:t>
            </w:r>
            <w:r w:rsidR="008D3F08">
              <w:rPr>
                <w:rFonts w:cs="Times New Roman"/>
              </w:rPr>
              <w:t xml:space="preserve"> (</w:t>
            </w:r>
            <w:r w:rsidRPr="0056724A">
              <w:rPr>
                <w:rFonts w:cs="Times New Roman"/>
              </w:rPr>
              <w:t>also bolded in the data table</w:t>
            </w:r>
            <w:r w:rsidR="008D3F08">
              <w:rPr>
                <w:rFonts w:cs="Times New Roman"/>
              </w:rPr>
              <w:t>)</w:t>
            </w:r>
            <w:r w:rsidRPr="0056724A">
              <w:rPr>
                <w:rFonts w:cs="Times New Roman"/>
              </w:rPr>
              <w:t xml:space="preserve"> don’t show </w:t>
            </w:r>
            <w:r w:rsidR="008D3F08">
              <w:rPr>
                <w:rFonts w:cs="Times New Roman"/>
              </w:rPr>
              <w:t>a linear</w:t>
            </w:r>
            <w:r w:rsidRPr="0056724A">
              <w:rPr>
                <w:rFonts w:cs="Times New Roman"/>
              </w:rPr>
              <w:t xml:space="preserve"> relationship between concentration and OD.  This is known as </w:t>
            </w:r>
            <w:r w:rsidRPr="0056724A">
              <w:rPr>
                <w:rFonts w:cs="Times New Roman"/>
                <w:i/>
              </w:rPr>
              <w:t>noise</w:t>
            </w:r>
            <w:r w:rsidRPr="0056724A">
              <w:rPr>
                <w:rFonts w:cs="Times New Roman"/>
              </w:rPr>
              <w:t>, and it tells you something about the limits of the instrument.  The plate reader cannot distinguish between concentrations this low.  Start with the culture indicated by the arrow.</w:t>
            </w: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0.000000001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0.2575</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0.2508</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0.247</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0.2458</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0.1955</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0.2553</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0.2415</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0.001953125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0.2904</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0.00390625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0.2638</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0.0078125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0.207</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0.3156</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0.015625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b/>
                <w:color w:val="000000"/>
                <w:sz w:val="20"/>
                <w:szCs w:val="20"/>
              </w:rPr>
            </w:pPr>
            <w:r w:rsidRPr="0056724A">
              <w:rPr>
                <w:rFonts w:cs="Times New Roman"/>
                <w:b/>
                <w:color w:val="000000"/>
                <w:sz w:val="20"/>
                <w:szCs w:val="20"/>
              </w:rPr>
              <w:t>0.2341</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0.03125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0.3012</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0.0625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0.3813</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0.4805</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0.125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0.4495</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0.6881</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1.0594</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A86C28">
        <w:trPr>
          <w:trHeight w:val="300"/>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1.7322</w:t>
            </w:r>
          </w:p>
        </w:tc>
        <w:tc>
          <w:tcPr>
            <w:tcW w:w="6412" w:type="dxa"/>
            <w:vMerge/>
            <w:tcBorders>
              <w:left w:val="single" w:sz="4" w:space="0" w:color="auto"/>
              <w:right w:val="nil"/>
            </w:tcBorders>
          </w:tcPr>
          <w:p w:rsidR="00AA17F1" w:rsidRPr="0056724A" w:rsidRDefault="00AA17F1" w:rsidP="00A86C28">
            <w:pPr>
              <w:spacing w:after="0"/>
              <w:jc w:val="right"/>
              <w:rPr>
                <w:rFonts w:cs="Times New Roman"/>
                <w:color w:val="000000"/>
              </w:rPr>
            </w:pPr>
          </w:p>
        </w:tc>
      </w:tr>
      <w:tr w:rsidR="00AA17F1" w:rsidRPr="0056724A" w:rsidTr="006519A3">
        <w:trPr>
          <w:trHeight w:val="386"/>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rPr>
                <w:rFonts w:cs="Times New Roman"/>
                <w:color w:val="000000"/>
                <w:sz w:val="20"/>
                <w:szCs w:val="20"/>
              </w:rPr>
            </w:pPr>
            <w:r w:rsidRPr="0056724A">
              <w:rPr>
                <w:rFonts w:cs="Times New Roman"/>
                <w:color w:val="000000"/>
                <w:sz w:val="20"/>
                <w:szCs w:val="20"/>
              </w:rPr>
              <w:t>1.0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17F1" w:rsidRPr="0056724A" w:rsidRDefault="00AA17F1" w:rsidP="00A86C28">
            <w:pPr>
              <w:spacing w:after="0"/>
              <w:jc w:val="right"/>
              <w:rPr>
                <w:rFonts w:cs="Times New Roman"/>
                <w:color w:val="000000"/>
                <w:sz w:val="20"/>
                <w:szCs w:val="20"/>
              </w:rPr>
            </w:pPr>
            <w:r w:rsidRPr="0056724A">
              <w:rPr>
                <w:rFonts w:cs="Times New Roman"/>
                <w:color w:val="000000"/>
                <w:sz w:val="20"/>
                <w:szCs w:val="20"/>
              </w:rPr>
              <w:t>1.8613</w:t>
            </w:r>
          </w:p>
        </w:tc>
        <w:tc>
          <w:tcPr>
            <w:tcW w:w="6412" w:type="dxa"/>
            <w:vMerge/>
            <w:tcBorders>
              <w:left w:val="single" w:sz="4" w:space="0" w:color="auto"/>
              <w:bottom w:val="nil"/>
              <w:right w:val="nil"/>
            </w:tcBorders>
          </w:tcPr>
          <w:p w:rsidR="00AA17F1" w:rsidRPr="0056724A" w:rsidRDefault="00AA17F1" w:rsidP="00A86C28">
            <w:pPr>
              <w:spacing w:after="0"/>
              <w:jc w:val="right"/>
              <w:rPr>
                <w:rFonts w:cs="Times New Roman"/>
                <w:color w:val="000000"/>
              </w:rPr>
            </w:pPr>
          </w:p>
        </w:tc>
      </w:tr>
    </w:tbl>
    <w:p w:rsidR="00AA17F1" w:rsidRPr="0056724A" w:rsidRDefault="00AA17F1" w:rsidP="005271FD">
      <w:pPr>
        <w:pStyle w:val="ListParagraph"/>
        <w:numPr>
          <w:ilvl w:val="0"/>
          <w:numId w:val="5"/>
        </w:numPr>
        <w:contextualSpacing w:val="0"/>
      </w:pPr>
      <w:r w:rsidRPr="0056724A">
        <w:t xml:space="preserve">Withdraw 10 µL of that culture and dispense it into the sample injection port of the hemocytometer (see </w:t>
      </w:r>
      <w:r w:rsidRPr="0056724A">
        <w:fldChar w:fldCharType="begin"/>
      </w:r>
      <w:r w:rsidRPr="0056724A">
        <w:instrText xml:space="preserve"> REF _Ref177284318 \h </w:instrText>
      </w:r>
      <w:r w:rsidR="0056724A">
        <w:instrText xml:space="preserve"> \* MERGEFORMAT </w:instrText>
      </w:r>
      <w:r w:rsidRPr="0056724A">
        <w:fldChar w:fldCharType="separate"/>
      </w:r>
      <w:r w:rsidR="00F56459" w:rsidRPr="0056724A">
        <w:t xml:space="preserve">Figure </w:t>
      </w:r>
      <w:r w:rsidR="00F56459">
        <w:rPr>
          <w:noProof/>
        </w:rPr>
        <w:t>4</w:t>
      </w:r>
      <w:r w:rsidRPr="0056724A">
        <w:fldChar w:fldCharType="end"/>
      </w:r>
      <w:r w:rsidRPr="0056724A">
        <w:t>).</w:t>
      </w:r>
    </w:p>
    <w:p w:rsidR="00AA17F1" w:rsidRPr="0056724A" w:rsidRDefault="00AA17F1" w:rsidP="005271FD">
      <w:pPr>
        <w:pStyle w:val="ListParagraph"/>
        <w:numPr>
          <w:ilvl w:val="0"/>
          <w:numId w:val="5"/>
        </w:numPr>
        <w:contextualSpacing w:val="0"/>
      </w:pPr>
      <w:r w:rsidRPr="0056724A">
        <w:t>Locate the counting area in the microscope and bring it into focus under low magnification (10</w:t>
      </w:r>
      <w:r w:rsidRPr="0056724A">
        <w:sym w:font="Symbol" w:char="F0B4"/>
      </w:r>
      <w:r w:rsidRPr="0056724A">
        <w:t xml:space="preserve"> objective).  Make sure the appropriate phase ring is in place.</w:t>
      </w:r>
    </w:p>
    <w:p w:rsidR="00AA17F1" w:rsidRPr="0056724A" w:rsidRDefault="00AA17F1" w:rsidP="005271FD">
      <w:pPr>
        <w:pStyle w:val="ListParagraph"/>
        <w:numPr>
          <w:ilvl w:val="0"/>
          <w:numId w:val="5"/>
        </w:numPr>
        <w:contextualSpacing w:val="0"/>
      </w:pPr>
      <w:r w:rsidRPr="0056724A">
        <w:t>Increase the magnification to 40</w:t>
      </w:r>
      <w:r w:rsidRPr="0056724A">
        <w:sym w:font="Symbol" w:char="F0B4"/>
      </w:r>
      <w:r w:rsidRPr="0056724A">
        <w:t xml:space="preserve"> (remember also to switch to the matching phase ring).  </w:t>
      </w:r>
      <w:r w:rsidRPr="0056724A">
        <w:rPr>
          <w:b/>
          <w:i/>
        </w:rPr>
        <w:t xml:space="preserve">Important tip:  Do not touch the focus knob before switching lenses, as these microscopes are parfocal.  If you are afraid of hitting the slide with the lens, push the stage down before you switch lenses.  </w:t>
      </w:r>
    </w:p>
    <w:p w:rsidR="00AA17F1" w:rsidRPr="0056724A" w:rsidRDefault="00AA17F1" w:rsidP="005271FD">
      <w:pPr>
        <w:pStyle w:val="ListParagraph"/>
        <w:numPr>
          <w:ilvl w:val="0"/>
          <w:numId w:val="5"/>
        </w:numPr>
        <w:contextualSpacing w:val="0"/>
      </w:pPr>
      <w:r w:rsidRPr="0056724A">
        <w:t>Count the cells in the square(s) you have chosen, keeping careful record of width (w) and length (l) of the grid section.  (Make a table in your lab notebook with headings of w, l and number of cells for each grid section.)</w:t>
      </w:r>
    </w:p>
    <w:p w:rsidR="00AA17F1" w:rsidRPr="0056724A" w:rsidRDefault="00AA17F1" w:rsidP="005271FD">
      <w:pPr>
        <w:pStyle w:val="ListParagraph"/>
        <w:numPr>
          <w:ilvl w:val="0"/>
          <w:numId w:val="5"/>
        </w:numPr>
        <w:contextualSpacing w:val="0"/>
      </w:pPr>
      <w:r w:rsidRPr="0056724A">
        <w:t>Repeat this procedure until you have counted at least 100 cells. (The object is to gain a precise estimate of the number of cells, and the more you count, the greater your confidence in the concentration you calculate.)</w:t>
      </w:r>
    </w:p>
    <w:p w:rsidR="00AA17F1" w:rsidRPr="0056724A" w:rsidRDefault="00AA17F1" w:rsidP="00AA17F1">
      <w:pPr>
        <w:pStyle w:val="ListParagraph"/>
        <w:numPr>
          <w:ilvl w:val="0"/>
          <w:numId w:val="5"/>
        </w:numPr>
        <w:contextualSpacing w:val="0"/>
        <w:jc w:val="both"/>
      </w:pPr>
      <w:r w:rsidRPr="0056724A">
        <w:lastRenderedPageBreak/>
        <w:t xml:space="preserve">Compute the volume (l </w:t>
      </w:r>
      <w:r w:rsidRPr="0056724A">
        <w:sym w:font="Symbol" w:char="F0B4"/>
      </w:r>
      <w:r w:rsidRPr="0056724A">
        <w:t xml:space="preserve"> w </w:t>
      </w:r>
      <w:r w:rsidRPr="0056724A">
        <w:sym w:font="Symbol" w:char="F0B4"/>
      </w:r>
      <w:r w:rsidRPr="0056724A">
        <w:t xml:space="preserve"> d) for each grid section in which cells were counted, using recorded values of l and w and d = 0.1 mm.</w:t>
      </w:r>
    </w:p>
    <w:p w:rsidR="00AA17F1" w:rsidRPr="0056724A" w:rsidRDefault="00AA17F1" w:rsidP="00AA17F1">
      <w:pPr>
        <w:pStyle w:val="ListParagraph"/>
        <w:numPr>
          <w:ilvl w:val="0"/>
          <w:numId w:val="5"/>
        </w:numPr>
        <w:contextualSpacing w:val="0"/>
        <w:jc w:val="both"/>
      </w:pPr>
      <w:r w:rsidRPr="0056724A">
        <w:t>Calculate the cell concentration in units of cells/</w:t>
      </w:r>
      <w:proofErr w:type="spellStart"/>
      <w:r w:rsidRPr="0056724A">
        <w:t>mL.</w:t>
      </w:r>
      <w:proofErr w:type="spellEnd"/>
      <w:r w:rsidRPr="0056724A">
        <w:t xml:space="preserve">  (Useful conversion factors:  1 µL = 1</w:t>
      </w:r>
      <w:r w:rsidR="00242CB3">
        <w:t xml:space="preserve"> </w:t>
      </w:r>
      <w:r w:rsidRPr="0056724A">
        <w:t>mm</w:t>
      </w:r>
      <w:r w:rsidRPr="0056724A">
        <w:rPr>
          <w:vertAlign w:val="superscript"/>
        </w:rPr>
        <w:t>3</w:t>
      </w:r>
      <w:r w:rsidR="00242CB3">
        <w:t xml:space="preserve">, 1 mL = 1000 </w:t>
      </w:r>
      <w:r w:rsidRPr="0056724A">
        <w:t>µL.)</w:t>
      </w:r>
    </w:p>
    <w:p w:rsidR="00AA17F1" w:rsidRPr="0056724A" w:rsidRDefault="00242CB3" w:rsidP="00AA17F1">
      <w:pPr>
        <w:pStyle w:val="ListParagraph"/>
        <w:numPr>
          <w:ilvl w:val="0"/>
          <w:numId w:val="5"/>
        </w:numPr>
        <w:contextualSpacing w:val="0"/>
        <w:jc w:val="both"/>
      </w:pPr>
      <w:r>
        <w:t>If you have time, r</w:t>
      </w:r>
      <w:r w:rsidR="00AA17F1" w:rsidRPr="0056724A">
        <w:t>epeat this procedure with a second 10 µL aliquot.  Choose a higher or lower cell density according to how crowded the first sample was.  (If it was hard to find cells, choose a more concentrated sample; if they were too numerous to count, go down.)</w:t>
      </w:r>
    </w:p>
    <w:p w:rsidR="00AA17F1" w:rsidRPr="0056724A" w:rsidRDefault="00AA17F1" w:rsidP="00AA17F1">
      <w:pPr>
        <w:pStyle w:val="Heading4"/>
        <w:rPr>
          <w:rFonts w:ascii="Times New Roman" w:hAnsi="Times New Roman" w:cs="Times New Roman"/>
        </w:rPr>
      </w:pPr>
      <w:bookmarkStart w:id="60" w:name="_Toc44740303"/>
      <w:bookmarkStart w:id="61" w:name="_Toc45600616"/>
      <w:bookmarkStart w:id="62" w:name="_Ref45610959"/>
      <w:bookmarkStart w:id="63" w:name="_Toc45965517"/>
      <w:bookmarkStart w:id="64" w:name="_Toc45965892"/>
      <w:bookmarkStart w:id="65" w:name="_Ref47767238"/>
      <w:bookmarkStart w:id="66" w:name="_Ref47767242"/>
      <w:bookmarkStart w:id="67" w:name="_Ref47767247"/>
      <w:r w:rsidRPr="0056724A">
        <w:rPr>
          <w:rFonts w:ascii="Times New Roman" w:hAnsi="Times New Roman" w:cs="Times New Roman"/>
        </w:rPr>
        <w:t>4.  Spread cells on an agar plate to count colonies.</w:t>
      </w:r>
    </w:p>
    <w:p w:rsidR="00AA17F1" w:rsidRPr="0056724A" w:rsidRDefault="00AA17F1" w:rsidP="00FD656C">
      <w:pPr>
        <w:rPr>
          <w:rFonts w:cs="Times New Roman"/>
        </w:rPr>
      </w:pPr>
      <w:r w:rsidRPr="0056724A">
        <w:rPr>
          <w:rFonts w:cs="Times New Roman"/>
        </w:rPr>
        <w:t xml:space="preserve">Spreading cells onto an LB-agar petri dish is a counting method in which each colony that becomes visible after an overnight incubation corresponds to one </w:t>
      </w:r>
      <w:r w:rsidRPr="0056724A">
        <w:rPr>
          <w:rFonts w:cs="Times New Roman"/>
          <w:i/>
        </w:rPr>
        <w:t>viable</w:t>
      </w:r>
      <w:r w:rsidRPr="0056724A">
        <w:rPr>
          <w:rFonts w:cs="Times New Roman"/>
        </w:rPr>
        <w:t xml:space="preserve"> cell.  </w:t>
      </w:r>
      <w:r w:rsidRPr="0056724A">
        <w:rPr>
          <w:rStyle w:val="warningchar"/>
          <w:rFonts w:ascii="Times New Roman" w:hAnsi="Times New Roman" w:cs="Times New Roman"/>
        </w:rPr>
        <w:t>For cell plating, the desired number of colonies per plate is ~ 50 to 200.</w:t>
      </w:r>
      <w:r w:rsidRPr="0056724A">
        <w:rPr>
          <w:rFonts w:cs="Times New Roman"/>
        </w:rPr>
        <w:t xml:space="preserve">  Since we don’t yet know just how concentrated our cells are, we will have to plate from more than one dilution.</w:t>
      </w:r>
    </w:p>
    <w:tbl>
      <w:tblPr>
        <w:tblStyle w:val="TableGrid"/>
        <w:tblW w:w="0" w:type="auto"/>
        <w:tblLook w:val="04A0" w:firstRow="1" w:lastRow="0" w:firstColumn="1" w:lastColumn="0" w:noHBand="0" w:noVBand="1"/>
      </w:tblPr>
      <w:tblGrid>
        <w:gridCol w:w="9354"/>
        <w:gridCol w:w="222"/>
      </w:tblGrid>
      <w:tr w:rsidR="00AA17F1" w:rsidRPr="0056724A" w:rsidTr="00A86C28">
        <w:trPr>
          <w:cantSplit/>
          <w:trHeight w:val="720"/>
        </w:trPr>
        <w:tc>
          <w:tcPr>
            <w:tcW w:w="0" w:type="auto"/>
            <w:vAlign w:val="center"/>
          </w:tcPr>
          <w:p w:rsidR="00AA17F1" w:rsidRPr="0056724A" w:rsidRDefault="00AA17F1" w:rsidP="00FD656C">
            <w:pPr>
              <w:keepLines/>
              <w:numPr>
                <w:ilvl w:val="0"/>
                <w:numId w:val="3"/>
              </w:numPr>
              <w:spacing w:after="0"/>
              <w:jc w:val="left"/>
            </w:pPr>
            <w:r w:rsidRPr="0056724A">
              <w:t xml:space="preserve">Label 8 agar plates around the margins of the </w:t>
            </w:r>
            <w:r w:rsidRPr="0056724A">
              <w:rPr>
                <w:b/>
                <w:i/>
              </w:rPr>
              <w:t>bottom</w:t>
            </w:r>
            <w:r w:rsidRPr="0056724A">
              <w:t xml:space="preserve"> dish, leaving plenty of room for you to view the colonies, and no doubt as to whose plate it is, which dilution.</w:t>
            </w:r>
          </w:p>
          <w:p w:rsidR="00AA17F1" w:rsidRPr="0056724A" w:rsidRDefault="00AA17F1" w:rsidP="00FD656C">
            <w:pPr>
              <w:keepLines/>
              <w:spacing w:after="0"/>
              <w:jc w:val="left"/>
            </w:pPr>
          </w:p>
        </w:tc>
        <w:tc>
          <w:tcPr>
            <w:tcW w:w="0" w:type="auto"/>
            <w:vAlign w:val="center"/>
          </w:tcPr>
          <w:p w:rsidR="00AA17F1" w:rsidRPr="0056724A" w:rsidRDefault="00AA17F1" w:rsidP="00FD656C">
            <w:pPr>
              <w:keepLines/>
              <w:spacing w:after="0"/>
              <w:jc w:val="left"/>
            </w:pPr>
          </w:p>
        </w:tc>
      </w:tr>
    </w:tbl>
    <w:p w:rsidR="00AA17F1" w:rsidRPr="0056724A" w:rsidRDefault="00AA17F1" w:rsidP="00FD656C">
      <w:pPr>
        <w:keepLines/>
        <w:numPr>
          <w:ilvl w:val="0"/>
          <w:numId w:val="3"/>
        </w:numPr>
        <w:spacing w:after="120" w:line="240" w:lineRule="auto"/>
        <w:rPr>
          <w:rFonts w:cs="Times New Roman"/>
        </w:rPr>
      </w:pPr>
      <w:r w:rsidRPr="0056724A">
        <w:rPr>
          <w:rFonts w:cs="Times New Roman"/>
        </w:rPr>
        <w:t xml:space="preserve">Dispense 100 µL of each of </w:t>
      </w:r>
      <w:r w:rsidRPr="002D3AA2">
        <w:rPr>
          <w:rFonts w:cs="Times New Roman"/>
          <w:b/>
        </w:rPr>
        <w:t>the 8 most dilute cell cultures from the 10-fold dilution</w:t>
      </w:r>
      <w:r w:rsidRPr="0056724A">
        <w:rPr>
          <w:rFonts w:cs="Times New Roman"/>
        </w:rPr>
        <w:t xml:space="preserve"> series onto its own agar plate, and add a few sterile glass beads.  Stack the </w:t>
      </w:r>
      <w:proofErr w:type="gramStart"/>
      <w:r w:rsidRPr="0056724A">
        <w:rPr>
          <w:rFonts w:cs="Times New Roman"/>
        </w:rPr>
        <w:t>plates</w:t>
      </w:r>
      <w:proofErr w:type="gramEnd"/>
      <w:r w:rsidRPr="0056724A">
        <w:rPr>
          <w:rFonts w:cs="Times New Roman"/>
        </w:rPr>
        <w:t xml:space="preserve"> right side up, and shake back and forth until the liquid has dried.</w:t>
      </w:r>
    </w:p>
    <w:p w:rsidR="00AA17F1" w:rsidRPr="0056724A" w:rsidRDefault="00AA17F1" w:rsidP="00FD656C">
      <w:pPr>
        <w:keepLines/>
        <w:numPr>
          <w:ilvl w:val="0"/>
          <w:numId w:val="3"/>
        </w:numPr>
        <w:spacing w:after="120" w:line="240" w:lineRule="auto"/>
        <w:rPr>
          <w:rFonts w:cs="Times New Roman"/>
        </w:rPr>
      </w:pPr>
      <w:r w:rsidRPr="0056724A">
        <w:rPr>
          <w:rFonts w:cs="Times New Roman"/>
        </w:rPr>
        <w:t>Remove the beads:  Turn each dish upside down in turn, tapping it to knock the beads into the lid, remove the lid while keeping the bottom upside down, and tap the beads into the waste receptacle.  Replace the lid.</w:t>
      </w:r>
    </w:p>
    <w:p w:rsidR="00AA17F1" w:rsidRPr="0056724A" w:rsidRDefault="00AA17F1" w:rsidP="00FD656C">
      <w:pPr>
        <w:keepLines/>
        <w:numPr>
          <w:ilvl w:val="0"/>
          <w:numId w:val="3"/>
        </w:numPr>
        <w:spacing w:after="120" w:line="240" w:lineRule="auto"/>
        <w:rPr>
          <w:rFonts w:cs="Times New Roman"/>
        </w:rPr>
      </w:pPr>
      <w:r w:rsidRPr="0056724A">
        <w:rPr>
          <w:rFonts w:cs="Times New Roman"/>
        </w:rPr>
        <w:t xml:space="preserve">Put the plates in the 37°C incubator, </w:t>
      </w:r>
      <w:r w:rsidRPr="0056724A">
        <w:rPr>
          <w:rFonts w:cs="Times New Roman"/>
          <w:b/>
          <w:i/>
        </w:rPr>
        <w:t>bottom side up</w:t>
      </w:r>
      <w:r w:rsidRPr="0056724A">
        <w:rPr>
          <w:rFonts w:cs="Times New Roman"/>
        </w:rPr>
        <w:t xml:space="preserve"> to incubate overnight.</w:t>
      </w:r>
    </w:p>
    <w:p w:rsidR="00AA17F1" w:rsidRPr="0056724A" w:rsidRDefault="00AA17F1" w:rsidP="00FD656C">
      <w:pPr>
        <w:keepLines/>
        <w:numPr>
          <w:ilvl w:val="0"/>
          <w:numId w:val="3"/>
        </w:numPr>
        <w:spacing w:after="120" w:line="240" w:lineRule="auto"/>
        <w:rPr>
          <w:rFonts w:cs="Times New Roman"/>
        </w:rPr>
      </w:pPr>
      <w:r w:rsidRPr="0056724A">
        <w:rPr>
          <w:rFonts w:cs="Times New Roman"/>
        </w:rPr>
        <w:t xml:space="preserve">Come back the next morning to count colonies (or put the LB-plates in the refrigerator to stop growth).  </w:t>
      </w:r>
      <w:r w:rsidRPr="0056724A">
        <w:rPr>
          <w:rStyle w:val="warningchar"/>
          <w:rFonts w:ascii="Times New Roman" w:hAnsi="Times New Roman" w:cs="Times New Roman"/>
        </w:rPr>
        <w:t>Don’t bother trying to count the colonies on overcrowded plates</w:t>
      </w:r>
      <w:r w:rsidRPr="0056724A">
        <w:rPr>
          <w:rFonts w:cs="Times New Roman"/>
        </w:rPr>
        <w:t>.</w:t>
      </w:r>
      <w:r w:rsidR="00FD656C">
        <w:rPr>
          <w:rFonts w:cs="Times New Roman"/>
        </w:rPr>
        <w:t xml:space="preserve"> An overcrowded plate is any plate with &gt;100 cells on it. It might be wise to take a picture of the plates you count.</w:t>
      </w:r>
    </w:p>
    <w:p w:rsidR="00AA17F1" w:rsidRPr="0056724A" w:rsidRDefault="00AA17F1" w:rsidP="00AA17F1">
      <w:pPr>
        <w:pStyle w:val="Heading3"/>
        <w:rPr>
          <w:rFonts w:ascii="Times New Roman" w:hAnsi="Times New Roman"/>
        </w:rPr>
      </w:pPr>
      <w:r w:rsidRPr="0056724A">
        <w:rPr>
          <w:rFonts w:ascii="Times New Roman" w:hAnsi="Times New Roman"/>
        </w:rPr>
        <w:t>Notebook</w:t>
      </w:r>
    </w:p>
    <w:p w:rsidR="00AA17F1" w:rsidRPr="0056724A" w:rsidRDefault="002D3AA2" w:rsidP="00AA17F1">
      <w:pPr>
        <w:rPr>
          <w:rFonts w:cs="Times New Roman"/>
        </w:rPr>
      </w:pPr>
      <w:r>
        <w:rPr>
          <w:rFonts w:cs="Times New Roman"/>
        </w:rPr>
        <w:t>In addition to all of the usual, y</w:t>
      </w:r>
      <w:r w:rsidR="00AA17F1" w:rsidRPr="0056724A">
        <w:rPr>
          <w:rFonts w:cs="Times New Roman"/>
        </w:rPr>
        <w:t>our notebook should contain:</w:t>
      </w:r>
    </w:p>
    <w:p w:rsidR="00AA17F1" w:rsidRDefault="00AA17F1" w:rsidP="00AA17F1">
      <w:pPr>
        <w:numPr>
          <w:ilvl w:val="0"/>
          <w:numId w:val="2"/>
        </w:numPr>
        <w:spacing w:after="120" w:line="240" w:lineRule="auto"/>
        <w:jc w:val="both"/>
        <w:rPr>
          <w:rFonts w:cs="Times New Roman"/>
        </w:rPr>
      </w:pPr>
      <w:r w:rsidRPr="0056724A">
        <w:rPr>
          <w:rFonts w:cs="Times New Roman"/>
        </w:rPr>
        <w:t>A table with the dilution factor in each well of your multi-well plate, and the OD</w:t>
      </w:r>
      <w:r w:rsidRPr="0056724A">
        <w:rPr>
          <w:rFonts w:cs="Times New Roman"/>
          <w:vertAlign w:val="subscript"/>
        </w:rPr>
        <w:t>595</w:t>
      </w:r>
      <w:r w:rsidRPr="0056724A">
        <w:rPr>
          <w:rFonts w:cs="Times New Roman"/>
        </w:rPr>
        <w:t xml:space="preserve"> values of each well.</w:t>
      </w:r>
    </w:p>
    <w:p w:rsidR="002D3AA2" w:rsidRPr="0056724A" w:rsidRDefault="002D3AA2" w:rsidP="00AA17F1">
      <w:pPr>
        <w:numPr>
          <w:ilvl w:val="0"/>
          <w:numId w:val="2"/>
        </w:numPr>
        <w:spacing w:after="120" w:line="240" w:lineRule="auto"/>
        <w:jc w:val="both"/>
        <w:rPr>
          <w:rFonts w:cs="Times New Roman"/>
        </w:rPr>
      </w:pPr>
      <w:r>
        <w:rPr>
          <w:rFonts w:cs="Times New Roman"/>
        </w:rPr>
        <w:t>Your graphs comparing dilutions to OD</w:t>
      </w:r>
      <w:r w:rsidRPr="002D3AA2">
        <w:rPr>
          <w:rFonts w:cs="Times New Roman"/>
          <w:vertAlign w:val="subscript"/>
        </w:rPr>
        <w:t>595</w:t>
      </w:r>
      <w:r>
        <w:rPr>
          <w:rFonts w:cs="Times New Roman"/>
        </w:rPr>
        <w:t xml:space="preserve"> – all of the data and with the noise removed.</w:t>
      </w:r>
    </w:p>
    <w:p w:rsidR="00AA17F1" w:rsidRPr="0056724A" w:rsidRDefault="00AA17F1" w:rsidP="00AA17F1">
      <w:pPr>
        <w:numPr>
          <w:ilvl w:val="0"/>
          <w:numId w:val="2"/>
        </w:numPr>
        <w:spacing w:after="120" w:line="240" w:lineRule="auto"/>
        <w:jc w:val="both"/>
        <w:rPr>
          <w:rFonts w:cs="Times New Roman"/>
        </w:rPr>
      </w:pPr>
      <w:r w:rsidRPr="0056724A">
        <w:rPr>
          <w:rFonts w:cs="Times New Roman"/>
        </w:rPr>
        <w:t>Cell counts, volume and cells/mL calculations for each hemocytometer sample, as well as an indication of which tube was used (and its dilution factor)</w:t>
      </w:r>
    </w:p>
    <w:p w:rsidR="00AA17F1" w:rsidRPr="0056724A" w:rsidRDefault="00AA17F1" w:rsidP="00AA17F1">
      <w:pPr>
        <w:pStyle w:val="ListParagraph"/>
        <w:numPr>
          <w:ilvl w:val="0"/>
          <w:numId w:val="2"/>
        </w:numPr>
      </w:pPr>
      <w:r w:rsidRPr="0056724A">
        <w:t>Colony counts for the countable agar plates (entered the next morning, obviously), and the dilution factor for each.</w:t>
      </w:r>
    </w:p>
    <w:p w:rsidR="00C44283" w:rsidRDefault="00C44283">
      <w:pPr>
        <w:rPr>
          <w:rFonts w:eastAsia="Times New Roman" w:cs="Times New Roman"/>
          <w:b/>
          <w:sz w:val="28"/>
          <w:szCs w:val="26"/>
        </w:rPr>
      </w:pPr>
      <w:bookmarkStart w:id="68" w:name="_Toc177285422"/>
      <w:bookmarkStart w:id="69" w:name="_Toc177382517"/>
      <w:bookmarkStart w:id="70" w:name="_Toc177633436"/>
      <w:bookmarkStart w:id="71" w:name="_Toc177634074"/>
      <w:bookmarkStart w:id="72" w:name="_Toc177635994"/>
      <w:r>
        <w:br w:type="page"/>
      </w:r>
    </w:p>
    <w:p w:rsidR="00AA17F1" w:rsidRPr="0056724A" w:rsidRDefault="00AA17F1" w:rsidP="00AA17F1">
      <w:pPr>
        <w:pStyle w:val="Heading3"/>
        <w:rPr>
          <w:rFonts w:ascii="Times New Roman" w:hAnsi="Times New Roman"/>
        </w:rPr>
      </w:pPr>
      <w:r w:rsidRPr="0056724A">
        <w:rPr>
          <w:rFonts w:ascii="Times New Roman" w:hAnsi="Times New Roman"/>
        </w:rPr>
        <w:lastRenderedPageBreak/>
        <w:t>Clean up</w:t>
      </w:r>
      <w:bookmarkEnd w:id="68"/>
      <w:bookmarkEnd w:id="69"/>
      <w:bookmarkEnd w:id="70"/>
      <w:bookmarkEnd w:id="71"/>
      <w:bookmarkEnd w:id="72"/>
    </w:p>
    <w:p w:rsidR="00AA17F1" w:rsidRPr="00641B03" w:rsidRDefault="00AA17F1" w:rsidP="00641B03">
      <w:pPr>
        <w:pStyle w:val="ListParagraph"/>
        <w:keepNext/>
        <w:numPr>
          <w:ilvl w:val="0"/>
          <w:numId w:val="8"/>
        </w:numPr>
        <w:spacing w:after="60"/>
      </w:pPr>
      <w:r w:rsidRPr="00641B03">
        <w:t>Throw microtubes in the trash.</w:t>
      </w:r>
    </w:p>
    <w:p w:rsidR="00AA17F1" w:rsidRPr="00641B03" w:rsidRDefault="00AA17F1" w:rsidP="00641B03">
      <w:pPr>
        <w:pStyle w:val="ListParagraph"/>
        <w:keepNext/>
        <w:numPr>
          <w:ilvl w:val="0"/>
          <w:numId w:val="8"/>
        </w:numPr>
        <w:spacing w:after="60"/>
      </w:pPr>
      <w:r w:rsidRPr="00641B03">
        <w:t>Give your liquid waste to your instructor for disposal.</w:t>
      </w:r>
    </w:p>
    <w:p w:rsidR="00AA17F1" w:rsidRPr="00641B03" w:rsidRDefault="00AA17F1" w:rsidP="00641B03">
      <w:pPr>
        <w:pStyle w:val="ListParagraph"/>
        <w:numPr>
          <w:ilvl w:val="0"/>
          <w:numId w:val="8"/>
        </w:numPr>
        <w:spacing w:after="60"/>
      </w:pPr>
      <w:r w:rsidRPr="00641B03">
        <w:t>Put all plastic items contaminated with bacteria into the red biohazard waste bin.</w:t>
      </w:r>
    </w:p>
    <w:p w:rsidR="00AA17F1" w:rsidRPr="00641B03" w:rsidRDefault="00AA17F1" w:rsidP="00641B03">
      <w:pPr>
        <w:pStyle w:val="ListParagraph"/>
        <w:numPr>
          <w:ilvl w:val="0"/>
          <w:numId w:val="8"/>
        </w:numPr>
        <w:spacing w:after="60"/>
      </w:pPr>
      <w:r w:rsidRPr="00641B03">
        <w:t>Add bleach to bacterial cultures in glass, rinse once, and put in the glass trash.</w:t>
      </w:r>
    </w:p>
    <w:p w:rsidR="00AA17F1" w:rsidRPr="00641B03" w:rsidRDefault="00AA17F1" w:rsidP="00641B03">
      <w:pPr>
        <w:pStyle w:val="ListParagraph"/>
        <w:numPr>
          <w:ilvl w:val="0"/>
          <w:numId w:val="8"/>
        </w:numPr>
        <w:spacing w:after="60"/>
      </w:pPr>
      <w:r w:rsidRPr="00641B03">
        <w:t>Throw out your bench pad and all your gloves.</w:t>
      </w:r>
    </w:p>
    <w:p w:rsidR="00AA17F1" w:rsidRPr="00641B03" w:rsidRDefault="00AA17F1" w:rsidP="00641B03">
      <w:pPr>
        <w:pStyle w:val="ListParagraph"/>
        <w:numPr>
          <w:ilvl w:val="0"/>
          <w:numId w:val="8"/>
        </w:numPr>
        <w:spacing w:after="60"/>
      </w:pPr>
      <w:r w:rsidRPr="00641B03">
        <w:t>Clean your bench top with 70% ethanol.</w:t>
      </w:r>
    </w:p>
    <w:p w:rsidR="00AA17F1" w:rsidRDefault="00AA17F1" w:rsidP="00641B03">
      <w:pPr>
        <w:pStyle w:val="ListParagraph"/>
        <w:numPr>
          <w:ilvl w:val="0"/>
          <w:numId w:val="8"/>
        </w:numPr>
      </w:pPr>
      <w:r w:rsidRPr="00641B03">
        <w:t>Wash your hands.</w:t>
      </w:r>
    </w:p>
    <w:p w:rsidR="00641B03" w:rsidRPr="00641B03" w:rsidRDefault="00641B03" w:rsidP="00641B03">
      <w:pPr>
        <w:pStyle w:val="ListParagraph"/>
        <w:numPr>
          <w:ilvl w:val="0"/>
          <w:numId w:val="8"/>
        </w:numPr>
      </w:pPr>
      <w:r>
        <w:t>Call home, they worry.</w:t>
      </w:r>
    </w:p>
    <w:bookmarkEnd w:id="60"/>
    <w:bookmarkEnd w:id="61"/>
    <w:bookmarkEnd w:id="62"/>
    <w:bookmarkEnd w:id="63"/>
    <w:bookmarkEnd w:id="64"/>
    <w:bookmarkEnd w:id="65"/>
    <w:bookmarkEnd w:id="66"/>
    <w:bookmarkEnd w:id="67"/>
    <w:p w:rsidR="00AA17F1" w:rsidRPr="0056724A" w:rsidRDefault="00AA17F1">
      <w:pPr>
        <w:rPr>
          <w:rFonts w:cs="Times New Roman"/>
        </w:rPr>
      </w:pPr>
    </w:p>
    <w:sectPr w:rsidR="00AA17F1" w:rsidRPr="0056724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3A" w:rsidRDefault="00D7173A" w:rsidP="00AA17F1">
      <w:pPr>
        <w:spacing w:after="0" w:line="240" w:lineRule="auto"/>
      </w:pPr>
      <w:r>
        <w:separator/>
      </w:r>
    </w:p>
  </w:endnote>
  <w:endnote w:type="continuationSeparator" w:id="0">
    <w:p w:rsidR="00D7173A" w:rsidRDefault="00D7173A" w:rsidP="00AA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3106"/>
      <w:docPartObj>
        <w:docPartGallery w:val="Page Numbers (Bottom of Page)"/>
        <w:docPartUnique/>
      </w:docPartObj>
    </w:sdtPr>
    <w:sdtEndPr>
      <w:rPr>
        <w:noProof/>
      </w:rPr>
    </w:sdtEndPr>
    <w:sdtContent>
      <w:p w:rsidR="00AA17F1" w:rsidRDefault="00AA17F1">
        <w:pPr>
          <w:pStyle w:val="Footer"/>
          <w:jc w:val="center"/>
        </w:pPr>
        <w:r>
          <w:fldChar w:fldCharType="begin"/>
        </w:r>
        <w:r>
          <w:instrText xml:space="preserve"> PAGE   \* MERGEFORMAT </w:instrText>
        </w:r>
        <w:r>
          <w:fldChar w:fldCharType="separate"/>
        </w:r>
        <w:r w:rsidR="007D2543">
          <w:rPr>
            <w:noProof/>
          </w:rPr>
          <w:t>4</w:t>
        </w:r>
        <w:r>
          <w:rPr>
            <w:noProof/>
          </w:rPr>
          <w:fldChar w:fldCharType="end"/>
        </w:r>
      </w:p>
    </w:sdtContent>
  </w:sdt>
  <w:p w:rsidR="00AA17F1" w:rsidRDefault="00AA1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3A" w:rsidRDefault="00D7173A" w:rsidP="00AA17F1">
      <w:pPr>
        <w:spacing w:after="0" w:line="240" w:lineRule="auto"/>
      </w:pPr>
      <w:r>
        <w:separator/>
      </w:r>
    </w:p>
  </w:footnote>
  <w:footnote w:type="continuationSeparator" w:id="0">
    <w:p w:rsidR="00D7173A" w:rsidRDefault="00D7173A" w:rsidP="00AA17F1">
      <w:pPr>
        <w:spacing w:after="0" w:line="240" w:lineRule="auto"/>
      </w:pPr>
      <w:r>
        <w:continuationSeparator/>
      </w:r>
    </w:p>
  </w:footnote>
  <w:footnote w:id="1">
    <w:p w:rsidR="00AA17F1" w:rsidRDefault="00AA17F1">
      <w:pPr>
        <w:pStyle w:val="FootnoteText"/>
      </w:pPr>
      <w:r>
        <w:rPr>
          <w:rStyle w:val="FootnoteReference"/>
        </w:rPr>
        <w:footnoteRef/>
      </w:r>
      <w:r>
        <w:t xml:space="preserve"> This lab was designed by Dr. Bob Weis. The protocol was written by Dr. Katherine Dorfman and Bob Weis with additions by Dr. Caleb Rounds</w:t>
      </w:r>
    </w:p>
  </w:footnote>
  <w:footnote w:id="2">
    <w:p w:rsidR="00AA17F1" w:rsidRPr="00E9020C" w:rsidRDefault="00AA17F1" w:rsidP="00AA17F1">
      <w:pPr>
        <w:pStyle w:val="FootnoteText"/>
      </w:pPr>
      <w:r w:rsidRPr="00E9020C">
        <w:rPr>
          <w:rStyle w:val="FootnoteReference"/>
          <w:sz w:val="22"/>
        </w:rPr>
        <w:footnoteRef/>
      </w:r>
      <w:r w:rsidRPr="00E9020C">
        <w:t xml:space="preserve"> </w:t>
      </w:r>
      <w:r w:rsidRPr="00E9020C">
        <w:tab/>
      </w:r>
      <w:proofErr w:type="spellStart"/>
      <w:r w:rsidRPr="00E9020C">
        <w:t>Schaechter</w:t>
      </w:r>
      <w:proofErr w:type="spellEnd"/>
      <w:r w:rsidRPr="00E9020C">
        <w:t xml:space="preserve"> M, </w:t>
      </w:r>
      <w:proofErr w:type="spellStart"/>
      <w:r w:rsidRPr="00E9020C">
        <w:t>Niedhardt</w:t>
      </w:r>
      <w:proofErr w:type="spellEnd"/>
      <w:r w:rsidRPr="00E9020C">
        <w:t xml:space="preserve"> FC in </w:t>
      </w:r>
      <w:r w:rsidRPr="00E9020C">
        <w:rPr>
          <w:i/>
        </w:rPr>
        <w:t>Escherichia coli</w:t>
      </w:r>
      <w:r w:rsidRPr="00E9020C">
        <w:t xml:space="preserve"> and </w:t>
      </w:r>
      <w:r w:rsidRPr="00E9020C">
        <w:rPr>
          <w:i/>
        </w:rPr>
        <w:t>Salmonella typhimurium</w:t>
      </w:r>
      <w:r w:rsidRPr="00E9020C">
        <w:t xml:space="preserve">: </w:t>
      </w:r>
      <w:r w:rsidRPr="00E9020C">
        <w:rPr>
          <w:i/>
        </w:rPr>
        <w:t>Cellular and Molecular Biology</w:t>
      </w:r>
      <w:r w:rsidRPr="00E9020C">
        <w:t>. (</w:t>
      </w:r>
      <w:proofErr w:type="spellStart"/>
      <w:r w:rsidRPr="00E9020C">
        <w:t>Niedhardt</w:t>
      </w:r>
      <w:proofErr w:type="spellEnd"/>
      <w:r w:rsidRPr="00E9020C">
        <w:t xml:space="preserve"> FC, editor) Washington, DC: American Society of Microbiology, 1987, p 2.</w:t>
      </w:r>
    </w:p>
  </w:footnote>
  <w:footnote w:id="3">
    <w:p w:rsidR="00AA17F1" w:rsidRPr="000342B5" w:rsidRDefault="00AA17F1" w:rsidP="00AA17F1">
      <w:pPr>
        <w:pStyle w:val="FootnoteText"/>
      </w:pPr>
      <w:r w:rsidRPr="00E9020C">
        <w:rPr>
          <w:rStyle w:val="FootnoteReference"/>
          <w:sz w:val="22"/>
        </w:rPr>
        <w:footnoteRef/>
      </w:r>
      <w:r w:rsidRPr="00E9020C">
        <w:t xml:space="preserve"> </w:t>
      </w:r>
      <w:r w:rsidRPr="00E9020C">
        <w:tab/>
      </w:r>
      <w:r w:rsidRPr="000342B5">
        <w:t xml:space="preserve">This quote, or something like it, is attributed to Jacque Monod, who by it implied that the cellular machinery of bacteria is used by eukaryotes. However, the reverse may not true as frequently; see </w:t>
      </w:r>
      <w:hyperlink r:id="rId1" w:history="1">
        <w:r w:rsidRPr="000342B5">
          <w:t xml:space="preserve">Wolin, SL (1994) From the Elephant to </w:t>
        </w:r>
        <w:r w:rsidRPr="000342B5">
          <w:rPr>
            <w:i/>
          </w:rPr>
          <w:t>E. coli</w:t>
        </w:r>
        <w:r w:rsidRPr="000342B5">
          <w:t>: SRP-Dependent Protein Targeting 77 (6), 787-790.</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7F1" w:rsidRDefault="00AA17F1">
    <w:pPr>
      <w:pStyle w:val="Header"/>
    </w:pPr>
    <w:r>
      <w:t>Biology 1</w:t>
    </w:r>
    <w:r w:rsidR="006D1948">
      <w:t>61</w:t>
    </w:r>
    <w:r>
      <w:t>H</w:t>
    </w:r>
    <w:r>
      <w:ptab w:relativeTo="margin" w:alignment="center" w:leader="none"/>
    </w:r>
    <w:r>
      <w:t>Lab 3.1 Counting Bacteria</w:t>
    </w:r>
    <w:r>
      <w:ptab w:relativeTo="margin" w:alignment="right" w:leader="none"/>
    </w:r>
    <w:r>
      <w:t>fall 201</w:t>
    </w:r>
    <w:r w:rsidR="006D1948">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B48"/>
    <w:multiLevelType w:val="hybridMultilevel"/>
    <w:tmpl w:val="AC7A62CE"/>
    <w:lvl w:ilvl="0" w:tplc="E4FE8F6C">
      <w:start w:val="1"/>
      <w:numFmt w:val="bullet"/>
      <w:lvlText w:val=""/>
      <w:lvlJc w:val="left"/>
      <w:pPr>
        <w:tabs>
          <w:tab w:val="num" w:pos="288"/>
        </w:tabs>
        <w:ind w:left="288" w:hanging="288"/>
      </w:pPr>
      <w:rPr>
        <w:rFonts w:ascii="Symbol" w:hAnsi="Symbol" w:hint="default"/>
      </w:rPr>
    </w:lvl>
    <w:lvl w:ilvl="1" w:tplc="C19064C6" w:tentative="1">
      <w:start w:val="1"/>
      <w:numFmt w:val="bullet"/>
      <w:lvlText w:val="o"/>
      <w:lvlJc w:val="left"/>
      <w:pPr>
        <w:tabs>
          <w:tab w:val="num" w:pos="1440"/>
        </w:tabs>
        <w:ind w:left="1440" w:hanging="360"/>
      </w:pPr>
      <w:rPr>
        <w:rFonts w:ascii="Courier New" w:hAnsi="Courier New" w:hint="default"/>
      </w:rPr>
    </w:lvl>
    <w:lvl w:ilvl="2" w:tplc="8B548502" w:tentative="1">
      <w:start w:val="1"/>
      <w:numFmt w:val="bullet"/>
      <w:lvlText w:val=""/>
      <w:lvlJc w:val="left"/>
      <w:pPr>
        <w:tabs>
          <w:tab w:val="num" w:pos="2160"/>
        </w:tabs>
        <w:ind w:left="2160" w:hanging="360"/>
      </w:pPr>
      <w:rPr>
        <w:rFonts w:ascii="Wingdings" w:hAnsi="Wingdings" w:hint="default"/>
      </w:rPr>
    </w:lvl>
    <w:lvl w:ilvl="3" w:tplc="3F9A8568" w:tentative="1">
      <w:start w:val="1"/>
      <w:numFmt w:val="bullet"/>
      <w:lvlText w:val=""/>
      <w:lvlJc w:val="left"/>
      <w:pPr>
        <w:tabs>
          <w:tab w:val="num" w:pos="2880"/>
        </w:tabs>
        <w:ind w:left="2880" w:hanging="360"/>
      </w:pPr>
      <w:rPr>
        <w:rFonts w:ascii="Symbol" w:hAnsi="Symbol" w:hint="default"/>
      </w:rPr>
    </w:lvl>
    <w:lvl w:ilvl="4" w:tplc="57EED3F8" w:tentative="1">
      <w:start w:val="1"/>
      <w:numFmt w:val="bullet"/>
      <w:lvlText w:val="o"/>
      <w:lvlJc w:val="left"/>
      <w:pPr>
        <w:tabs>
          <w:tab w:val="num" w:pos="3600"/>
        </w:tabs>
        <w:ind w:left="3600" w:hanging="360"/>
      </w:pPr>
      <w:rPr>
        <w:rFonts w:ascii="Courier New" w:hAnsi="Courier New" w:hint="default"/>
      </w:rPr>
    </w:lvl>
    <w:lvl w:ilvl="5" w:tplc="7E366F96" w:tentative="1">
      <w:start w:val="1"/>
      <w:numFmt w:val="bullet"/>
      <w:lvlText w:val=""/>
      <w:lvlJc w:val="left"/>
      <w:pPr>
        <w:tabs>
          <w:tab w:val="num" w:pos="4320"/>
        </w:tabs>
        <w:ind w:left="4320" w:hanging="360"/>
      </w:pPr>
      <w:rPr>
        <w:rFonts w:ascii="Wingdings" w:hAnsi="Wingdings" w:hint="default"/>
      </w:rPr>
    </w:lvl>
    <w:lvl w:ilvl="6" w:tplc="28B27822" w:tentative="1">
      <w:start w:val="1"/>
      <w:numFmt w:val="bullet"/>
      <w:lvlText w:val=""/>
      <w:lvlJc w:val="left"/>
      <w:pPr>
        <w:tabs>
          <w:tab w:val="num" w:pos="5040"/>
        </w:tabs>
        <w:ind w:left="5040" w:hanging="360"/>
      </w:pPr>
      <w:rPr>
        <w:rFonts w:ascii="Symbol" w:hAnsi="Symbol" w:hint="default"/>
      </w:rPr>
    </w:lvl>
    <w:lvl w:ilvl="7" w:tplc="37CCFB34" w:tentative="1">
      <w:start w:val="1"/>
      <w:numFmt w:val="bullet"/>
      <w:lvlText w:val="o"/>
      <w:lvlJc w:val="left"/>
      <w:pPr>
        <w:tabs>
          <w:tab w:val="num" w:pos="5760"/>
        </w:tabs>
        <w:ind w:left="5760" w:hanging="360"/>
      </w:pPr>
      <w:rPr>
        <w:rFonts w:ascii="Courier New" w:hAnsi="Courier New" w:hint="default"/>
      </w:rPr>
    </w:lvl>
    <w:lvl w:ilvl="8" w:tplc="A620CC26" w:tentative="1">
      <w:start w:val="1"/>
      <w:numFmt w:val="bullet"/>
      <w:lvlText w:val=""/>
      <w:lvlJc w:val="left"/>
      <w:pPr>
        <w:tabs>
          <w:tab w:val="num" w:pos="6480"/>
        </w:tabs>
        <w:ind w:left="6480" w:hanging="360"/>
      </w:pPr>
      <w:rPr>
        <w:rFonts w:ascii="Wingdings" w:hAnsi="Wingdings" w:hint="default"/>
      </w:rPr>
    </w:lvl>
  </w:abstractNum>
  <w:abstractNum w:abstractNumId="1">
    <w:nsid w:val="06907681"/>
    <w:multiLevelType w:val="hybridMultilevel"/>
    <w:tmpl w:val="1E0A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253C4"/>
    <w:multiLevelType w:val="hybridMultilevel"/>
    <w:tmpl w:val="79843070"/>
    <w:lvl w:ilvl="0" w:tplc="3F027A68">
      <w:start w:val="1"/>
      <w:numFmt w:val="decimal"/>
      <w:lvlText w:val="%1."/>
      <w:lvlJc w:val="left"/>
      <w:pPr>
        <w:ind w:left="720" w:hanging="360"/>
      </w:pPr>
    </w:lvl>
    <w:lvl w:ilvl="1" w:tplc="785CFBB2">
      <w:start w:val="1"/>
      <w:numFmt w:val="decimal"/>
      <w:lvlText w:val="%2."/>
      <w:lvlJc w:val="left"/>
      <w:pPr>
        <w:ind w:left="1440" w:hanging="360"/>
      </w:pPr>
    </w:lvl>
    <w:lvl w:ilvl="2" w:tplc="7054A4C8" w:tentative="1">
      <w:start w:val="1"/>
      <w:numFmt w:val="lowerRoman"/>
      <w:lvlText w:val="%3."/>
      <w:lvlJc w:val="right"/>
      <w:pPr>
        <w:ind w:left="2160" w:hanging="180"/>
      </w:pPr>
    </w:lvl>
    <w:lvl w:ilvl="3" w:tplc="4056A1E8" w:tentative="1">
      <w:start w:val="1"/>
      <w:numFmt w:val="decimal"/>
      <w:lvlText w:val="%4."/>
      <w:lvlJc w:val="left"/>
      <w:pPr>
        <w:ind w:left="2880" w:hanging="360"/>
      </w:pPr>
    </w:lvl>
    <w:lvl w:ilvl="4" w:tplc="E7229D84" w:tentative="1">
      <w:start w:val="1"/>
      <w:numFmt w:val="lowerLetter"/>
      <w:lvlText w:val="%5."/>
      <w:lvlJc w:val="left"/>
      <w:pPr>
        <w:ind w:left="3600" w:hanging="360"/>
      </w:pPr>
    </w:lvl>
    <w:lvl w:ilvl="5" w:tplc="81C86FD0" w:tentative="1">
      <w:start w:val="1"/>
      <w:numFmt w:val="lowerRoman"/>
      <w:lvlText w:val="%6."/>
      <w:lvlJc w:val="right"/>
      <w:pPr>
        <w:ind w:left="4320" w:hanging="180"/>
      </w:pPr>
    </w:lvl>
    <w:lvl w:ilvl="6" w:tplc="10D8A52C" w:tentative="1">
      <w:start w:val="1"/>
      <w:numFmt w:val="decimal"/>
      <w:lvlText w:val="%7."/>
      <w:lvlJc w:val="left"/>
      <w:pPr>
        <w:ind w:left="5040" w:hanging="360"/>
      </w:pPr>
    </w:lvl>
    <w:lvl w:ilvl="7" w:tplc="29C8539C" w:tentative="1">
      <w:start w:val="1"/>
      <w:numFmt w:val="lowerLetter"/>
      <w:lvlText w:val="%8."/>
      <w:lvlJc w:val="left"/>
      <w:pPr>
        <w:ind w:left="5760" w:hanging="360"/>
      </w:pPr>
    </w:lvl>
    <w:lvl w:ilvl="8" w:tplc="1E504004" w:tentative="1">
      <w:start w:val="1"/>
      <w:numFmt w:val="lowerRoman"/>
      <w:lvlText w:val="%9."/>
      <w:lvlJc w:val="right"/>
      <w:pPr>
        <w:ind w:left="6480" w:hanging="180"/>
      </w:pPr>
    </w:lvl>
  </w:abstractNum>
  <w:abstractNum w:abstractNumId="3">
    <w:nsid w:val="43BE1B99"/>
    <w:multiLevelType w:val="hybridMultilevel"/>
    <w:tmpl w:val="FC8E77CC"/>
    <w:lvl w:ilvl="0" w:tplc="7A007CAC">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5DA6753B"/>
    <w:multiLevelType w:val="hybridMultilevel"/>
    <w:tmpl w:val="BD92175A"/>
    <w:lvl w:ilvl="0" w:tplc="08C0014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3B96FE3"/>
    <w:multiLevelType w:val="hybridMultilevel"/>
    <w:tmpl w:val="4F5E173C"/>
    <w:lvl w:ilvl="0" w:tplc="CE36A066">
      <w:start w:val="1"/>
      <w:numFmt w:val="bullet"/>
      <w:lvlText w:val=""/>
      <w:lvlJc w:val="left"/>
      <w:pPr>
        <w:tabs>
          <w:tab w:val="num" w:pos="720"/>
        </w:tabs>
        <w:ind w:left="720" w:hanging="360"/>
      </w:pPr>
      <w:rPr>
        <w:rFonts w:ascii="Symbol" w:hAnsi="Symbol" w:hint="default"/>
      </w:rPr>
    </w:lvl>
    <w:lvl w:ilvl="1" w:tplc="E18C4134" w:tentative="1">
      <w:start w:val="1"/>
      <w:numFmt w:val="bullet"/>
      <w:lvlText w:val="o"/>
      <w:lvlJc w:val="left"/>
      <w:pPr>
        <w:tabs>
          <w:tab w:val="num" w:pos="1440"/>
        </w:tabs>
        <w:ind w:left="1440" w:hanging="360"/>
      </w:pPr>
      <w:rPr>
        <w:rFonts w:ascii="Courier New" w:hAnsi="Courier New" w:hint="default"/>
      </w:rPr>
    </w:lvl>
    <w:lvl w:ilvl="2" w:tplc="C2F83468" w:tentative="1">
      <w:start w:val="1"/>
      <w:numFmt w:val="bullet"/>
      <w:lvlText w:val=""/>
      <w:lvlJc w:val="left"/>
      <w:pPr>
        <w:tabs>
          <w:tab w:val="num" w:pos="2160"/>
        </w:tabs>
        <w:ind w:left="2160" w:hanging="360"/>
      </w:pPr>
      <w:rPr>
        <w:rFonts w:ascii="Wingdings" w:hAnsi="Wingdings" w:hint="default"/>
      </w:rPr>
    </w:lvl>
    <w:lvl w:ilvl="3" w:tplc="D2384FA6" w:tentative="1">
      <w:start w:val="1"/>
      <w:numFmt w:val="bullet"/>
      <w:lvlText w:val=""/>
      <w:lvlJc w:val="left"/>
      <w:pPr>
        <w:tabs>
          <w:tab w:val="num" w:pos="2880"/>
        </w:tabs>
        <w:ind w:left="2880" w:hanging="360"/>
      </w:pPr>
      <w:rPr>
        <w:rFonts w:ascii="Symbol" w:hAnsi="Symbol" w:hint="default"/>
      </w:rPr>
    </w:lvl>
    <w:lvl w:ilvl="4" w:tplc="259AF8E2" w:tentative="1">
      <w:start w:val="1"/>
      <w:numFmt w:val="bullet"/>
      <w:lvlText w:val="o"/>
      <w:lvlJc w:val="left"/>
      <w:pPr>
        <w:tabs>
          <w:tab w:val="num" w:pos="3600"/>
        </w:tabs>
        <w:ind w:left="3600" w:hanging="360"/>
      </w:pPr>
      <w:rPr>
        <w:rFonts w:ascii="Courier New" w:hAnsi="Courier New" w:hint="default"/>
      </w:rPr>
    </w:lvl>
    <w:lvl w:ilvl="5" w:tplc="8C2C0FD0" w:tentative="1">
      <w:start w:val="1"/>
      <w:numFmt w:val="bullet"/>
      <w:lvlText w:val=""/>
      <w:lvlJc w:val="left"/>
      <w:pPr>
        <w:tabs>
          <w:tab w:val="num" w:pos="4320"/>
        </w:tabs>
        <w:ind w:left="4320" w:hanging="360"/>
      </w:pPr>
      <w:rPr>
        <w:rFonts w:ascii="Wingdings" w:hAnsi="Wingdings" w:hint="default"/>
      </w:rPr>
    </w:lvl>
    <w:lvl w:ilvl="6" w:tplc="F70C2932" w:tentative="1">
      <w:start w:val="1"/>
      <w:numFmt w:val="bullet"/>
      <w:lvlText w:val=""/>
      <w:lvlJc w:val="left"/>
      <w:pPr>
        <w:tabs>
          <w:tab w:val="num" w:pos="5040"/>
        </w:tabs>
        <w:ind w:left="5040" w:hanging="360"/>
      </w:pPr>
      <w:rPr>
        <w:rFonts w:ascii="Symbol" w:hAnsi="Symbol" w:hint="default"/>
      </w:rPr>
    </w:lvl>
    <w:lvl w:ilvl="7" w:tplc="BC78BE94" w:tentative="1">
      <w:start w:val="1"/>
      <w:numFmt w:val="bullet"/>
      <w:lvlText w:val="o"/>
      <w:lvlJc w:val="left"/>
      <w:pPr>
        <w:tabs>
          <w:tab w:val="num" w:pos="5760"/>
        </w:tabs>
        <w:ind w:left="5760" w:hanging="360"/>
      </w:pPr>
      <w:rPr>
        <w:rFonts w:ascii="Courier New" w:hAnsi="Courier New" w:hint="default"/>
      </w:rPr>
    </w:lvl>
    <w:lvl w:ilvl="8" w:tplc="A8A43FBC" w:tentative="1">
      <w:start w:val="1"/>
      <w:numFmt w:val="bullet"/>
      <w:lvlText w:val=""/>
      <w:lvlJc w:val="left"/>
      <w:pPr>
        <w:tabs>
          <w:tab w:val="num" w:pos="6480"/>
        </w:tabs>
        <w:ind w:left="6480" w:hanging="360"/>
      </w:pPr>
      <w:rPr>
        <w:rFonts w:ascii="Wingdings" w:hAnsi="Wingdings" w:hint="default"/>
      </w:rPr>
    </w:lvl>
  </w:abstractNum>
  <w:abstractNum w:abstractNumId="6">
    <w:nsid w:val="66C96E2E"/>
    <w:multiLevelType w:val="hybridMultilevel"/>
    <w:tmpl w:val="32E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560121"/>
    <w:multiLevelType w:val="hybridMultilevel"/>
    <w:tmpl w:val="FAD8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F1"/>
    <w:rsid w:val="000509D5"/>
    <w:rsid w:val="000577A0"/>
    <w:rsid w:val="000C174C"/>
    <w:rsid w:val="001655E5"/>
    <w:rsid w:val="00183939"/>
    <w:rsid w:val="00222247"/>
    <w:rsid w:val="00242CB3"/>
    <w:rsid w:val="002D3AA2"/>
    <w:rsid w:val="002F6CEC"/>
    <w:rsid w:val="003067C9"/>
    <w:rsid w:val="003133A5"/>
    <w:rsid w:val="003528E2"/>
    <w:rsid w:val="00411F91"/>
    <w:rsid w:val="005271FD"/>
    <w:rsid w:val="0054490E"/>
    <w:rsid w:val="0056724A"/>
    <w:rsid w:val="005D5F77"/>
    <w:rsid w:val="00641B03"/>
    <w:rsid w:val="006519A3"/>
    <w:rsid w:val="006D1948"/>
    <w:rsid w:val="007B0DB3"/>
    <w:rsid w:val="007B5D72"/>
    <w:rsid w:val="007D2543"/>
    <w:rsid w:val="008535A6"/>
    <w:rsid w:val="00873BB3"/>
    <w:rsid w:val="008D3F08"/>
    <w:rsid w:val="0097563E"/>
    <w:rsid w:val="00991568"/>
    <w:rsid w:val="00AA17F1"/>
    <w:rsid w:val="00B94E40"/>
    <w:rsid w:val="00BC7DF4"/>
    <w:rsid w:val="00BD1F9A"/>
    <w:rsid w:val="00C071A4"/>
    <w:rsid w:val="00C44283"/>
    <w:rsid w:val="00C54827"/>
    <w:rsid w:val="00CB18A9"/>
    <w:rsid w:val="00CD6648"/>
    <w:rsid w:val="00D07495"/>
    <w:rsid w:val="00D10953"/>
    <w:rsid w:val="00D61B60"/>
    <w:rsid w:val="00D7173A"/>
    <w:rsid w:val="00D7553F"/>
    <w:rsid w:val="00D75A6A"/>
    <w:rsid w:val="00E34F09"/>
    <w:rsid w:val="00E40DB5"/>
    <w:rsid w:val="00F56459"/>
    <w:rsid w:val="00FD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60"/>
    <w:rPr>
      <w:rFonts w:ascii="Times New Roman" w:hAnsi="Times New Roman"/>
      <w:sz w:val="24"/>
    </w:rPr>
  </w:style>
  <w:style w:type="paragraph" w:styleId="Heading2">
    <w:name w:val="heading 2"/>
    <w:basedOn w:val="Normal"/>
    <w:next w:val="Normal"/>
    <w:link w:val="Heading2Char"/>
    <w:qFormat/>
    <w:rsid w:val="00AA17F1"/>
    <w:pPr>
      <w:keepNext/>
      <w:spacing w:after="120" w:line="240" w:lineRule="auto"/>
      <w:jc w:val="center"/>
      <w:outlineLvl w:val="1"/>
    </w:pPr>
    <w:rPr>
      <w:rFonts w:ascii="Arial" w:eastAsia="Times New Roman" w:hAnsi="Arial" w:cs="Times New Roman"/>
      <w:b/>
      <w:i/>
      <w:sz w:val="36"/>
      <w:szCs w:val="28"/>
    </w:rPr>
  </w:style>
  <w:style w:type="paragraph" w:styleId="Heading3">
    <w:name w:val="heading 3"/>
    <w:basedOn w:val="Normal"/>
    <w:next w:val="Normal"/>
    <w:link w:val="Heading3Char"/>
    <w:qFormat/>
    <w:rsid w:val="00AA17F1"/>
    <w:pPr>
      <w:keepNext/>
      <w:spacing w:before="180" w:after="60" w:line="240" w:lineRule="auto"/>
      <w:jc w:val="both"/>
      <w:outlineLvl w:val="2"/>
    </w:pPr>
    <w:rPr>
      <w:rFonts w:ascii="Arial" w:eastAsia="Times New Roman" w:hAnsi="Arial" w:cs="Times New Roman"/>
      <w:b/>
      <w:sz w:val="28"/>
      <w:szCs w:val="26"/>
    </w:rPr>
  </w:style>
  <w:style w:type="paragraph" w:styleId="Heading4">
    <w:name w:val="heading 4"/>
    <w:basedOn w:val="Normal"/>
    <w:next w:val="Normal"/>
    <w:link w:val="Heading4Char"/>
    <w:qFormat/>
    <w:rsid w:val="00AA17F1"/>
    <w:pPr>
      <w:keepNext/>
      <w:spacing w:before="60" w:after="60" w:line="240" w:lineRule="auto"/>
      <w:jc w:val="both"/>
      <w:outlineLvl w:val="3"/>
    </w:pPr>
    <w:rPr>
      <w:rFonts w:ascii="Arial" w:eastAsia="Times New Roman" w:hAnsi="Arial" w:cs="Arial"/>
      <w:b/>
      <w:sz w:val="26"/>
      <w:szCs w:val="28"/>
    </w:rPr>
  </w:style>
  <w:style w:type="paragraph" w:styleId="Heading5">
    <w:name w:val="heading 5"/>
    <w:basedOn w:val="Normal"/>
    <w:next w:val="Normal"/>
    <w:link w:val="Heading5Char"/>
    <w:qFormat/>
    <w:rsid w:val="00AA17F1"/>
    <w:pPr>
      <w:keepNext/>
      <w:spacing w:before="60" w:after="60" w:line="240" w:lineRule="auto"/>
      <w:jc w:val="both"/>
      <w:outlineLvl w:val="4"/>
    </w:pPr>
    <w:rPr>
      <w:rFonts w:ascii="Arial" w:eastAsia="Times New Roman" w:hAnsi="Arial" w:cs="Times New Roman"/>
      <w:b/>
      <w:bCs/>
      <w:i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17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F1"/>
    <w:rPr>
      <w:rFonts w:ascii="Times New Roman" w:hAnsi="Times New Roman"/>
      <w:sz w:val="20"/>
      <w:szCs w:val="20"/>
    </w:rPr>
  </w:style>
  <w:style w:type="character" w:styleId="EndnoteReference">
    <w:name w:val="endnote reference"/>
    <w:basedOn w:val="DefaultParagraphFont"/>
    <w:uiPriority w:val="99"/>
    <w:semiHidden/>
    <w:unhideWhenUsed/>
    <w:rsid w:val="00AA17F1"/>
    <w:rPr>
      <w:vertAlign w:val="superscript"/>
    </w:rPr>
  </w:style>
  <w:style w:type="paragraph" w:styleId="FootnoteText">
    <w:name w:val="footnote text"/>
    <w:basedOn w:val="Normal"/>
    <w:link w:val="FootnoteTextChar"/>
    <w:uiPriority w:val="99"/>
    <w:unhideWhenUsed/>
    <w:rsid w:val="00AA1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F1"/>
    <w:rPr>
      <w:rFonts w:ascii="Times New Roman" w:hAnsi="Times New Roman"/>
      <w:sz w:val="20"/>
      <w:szCs w:val="20"/>
    </w:rPr>
  </w:style>
  <w:style w:type="character" w:styleId="FootnoteReference">
    <w:name w:val="footnote reference"/>
    <w:basedOn w:val="DefaultParagraphFont"/>
    <w:uiPriority w:val="99"/>
    <w:unhideWhenUsed/>
    <w:rsid w:val="00AA17F1"/>
    <w:rPr>
      <w:vertAlign w:val="superscript"/>
    </w:rPr>
  </w:style>
  <w:style w:type="paragraph" w:styleId="Header">
    <w:name w:val="header"/>
    <w:basedOn w:val="Normal"/>
    <w:link w:val="HeaderChar"/>
    <w:uiPriority w:val="99"/>
    <w:unhideWhenUsed/>
    <w:rsid w:val="00AA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F1"/>
    <w:rPr>
      <w:rFonts w:ascii="Times New Roman" w:hAnsi="Times New Roman"/>
      <w:sz w:val="24"/>
    </w:rPr>
  </w:style>
  <w:style w:type="paragraph" w:styleId="Footer">
    <w:name w:val="footer"/>
    <w:basedOn w:val="Normal"/>
    <w:link w:val="FooterChar"/>
    <w:uiPriority w:val="99"/>
    <w:unhideWhenUsed/>
    <w:rsid w:val="00AA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F1"/>
    <w:rPr>
      <w:rFonts w:ascii="Times New Roman" w:hAnsi="Times New Roman"/>
      <w:sz w:val="24"/>
    </w:rPr>
  </w:style>
  <w:style w:type="character" w:customStyle="1" w:styleId="Heading2Char">
    <w:name w:val="Heading 2 Char"/>
    <w:basedOn w:val="DefaultParagraphFont"/>
    <w:link w:val="Heading2"/>
    <w:rsid w:val="00AA17F1"/>
    <w:rPr>
      <w:rFonts w:ascii="Arial" w:eastAsia="Times New Roman" w:hAnsi="Arial" w:cs="Times New Roman"/>
      <w:b/>
      <w:i/>
      <w:sz w:val="36"/>
      <w:szCs w:val="28"/>
    </w:rPr>
  </w:style>
  <w:style w:type="character" w:customStyle="1" w:styleId="Heading3Char">
    <w:name w:val="Heading 3 Char"/>
    <w:basedOn w:val="DefaultParagraphFont"/>
    <w:link w:val="Heading3"/>
    <w:rsid w:val="00AA17F1"/>
    <w:rPr>
      <w:rFonts w:ascii="Arial" w:eastAsia="Times New Roman" w:hAnsi="Arial" w:cs="Times New Roman"/>
      <w:b/>
      <w:sz w:val="28"/>
      <w:szCs w:val="26"/>
    </w:rPr>
  </w:style>
  <w:style w:type="character" w:customStyle="1" w:styleId="Heading4Char">
    <w:name w:val="Heading 4 Char"/>
    <w:basedOn w:val="DefaultParagraphFont"/>
    <w:link w:val="Heading4"/>
    <w:rsid w:val="00AA17F1"/>
    <w:rPr>
      <w:rFonts w:ascii="Arial" w:eastAsia="Times New Roman" w:hAnsi="Arial" w:cs="Arial"/>
      <w:b/>
      <w:sz w:val="26"/>
      <w:szCs w:val="28"/>
    </w:rPr>
  </w:style>
  <w:style w:type="character" w:customStyle="1" w:styleId="Heading5Char">
    <w:name w:val="Heading 5 Char"/>
    <w:basedOn w:val="DefaultParagraphFont"/>
    <w:link w:val="Heading5"/>
    <w:rsid w:val="00AA17F1"/>
    <w:rPr>
      <w:rFonts w:ascii="Arial" w:eastAsia="Times New Roman" w:hAnsi="Arial" w:cs="Times New Roman"/>
      <w:b/>
      <w:bCs/>
      <w:iCs/>
      <w:color w:val="000000"/>
      <w:sz w:val="24"/>
      <w:szCs w:val="26"/>
    </w:rPr>
  </w:style>
  <w:style w:type="paragraph" w:styleId="Caption">
    <w:name w:val="caption"/>
    <w:basedOn w:val="Normal"/>
    <w:next w:val="Normal"/>
    <w:qFormat/>
    <w:rsid w:val="00AA17F1"/>
    <w:pPr>
      <w:spacing w:before="120" w:after="120" w:line="240" w:lineRule="auto"/>
      <w:ind w:left="432" w:right="432"/>
      <w:jc w:val="both"/>
    </w:pPr>
    <w:rPr>
      <w:rFonts w:eastAsia="Times New Roman" w:cs="Times New Roman"/>
      <w:b/>
      <w:bCs/>
      <w:sz w:val="20"/>
      <w:szCs w:val="20"/>
    </w:rPr>
  </w:style>
  <w:style w:type="table" w:styleId="TableGrid">
    <w:name w:val="Table Grid"/>
    <w:basedOn w:val="TableNormal"/>
    <w:uiPriority w:val="59"/>
    <w:rsid w:val="00AA17F1"/>
    <w:pPr>
      <w:spacing w:after="120" w:line="240" w:lineRule="auto"/>
      <w:jc w:val="both"/>
    </w:pPr>
    <w:rPr>
      <w:rFonts w:ascii="Times New Roman" w:eastAsia="Times New Roman" w:hAnsi="Times New Roman" w:cs="Times New Roman"/>
      <w:sz w:val="24"/>
      <w:szCs w:val="24"/>
      <w:lang w:bidi="x-none"/>
    </w:rPr>
    <w:tblPr>
      <w:tblInd w:w="0" w:type="dxa"/>
      <w:tblCellMar>
        <w:top w:w="0" w:type="dxa"/>
        <w:left w:w="108" w:type="dxa"/>
        <w:bottom w:w="0" w:type="dxa"/>
        <w:right w:w="108" w:type="dxa"/>
      </w:tblCellMar>
    </w:tblPr>
  </w:style>
  <w:style w:type="character" w:styleId="Hyperlink">
    <w:name w:val="Hyperlink"/>
    <w:rsid w:val="00AA17F1"/>
    <w:rPr>
      <w:color w:val="0000FF"/>
      <w:u w:val="single"/>
    </w:rPr>
  </w:style>
  <w:style w:type="paragraph" w:customStyle="1" w:styleId="figure">
    <w:name w:val="figure"/>
    <w:basedOn w:val="Normal"/>
    <w:next w:val="Caption"/>
    <w:rsid w:val="00AA17F1"/>
    <w:pPr>
      <w:keepNext/>
      <w:spacing w:after="120" w:line="240" w:lineRule="auto"/>
      <w:jc w:val="center"/>
    </w:pPr>
    <w:rPr>
      <w:rFonts w:eastAsia="Times New Roman" w:cs="Times New Roman"/>
      <w:color w:val="000000"/>
      <w:szCs w:val="24"/>
    </w:rPr>
  </w:style>
  <w:style w:type="paragraph" w:styleId="ListParagraph">
    <w:name w:val="List Paragraph"/>
    <w:basedOn w:val="Normal"/>
    <w:uiPriority w:val="34"/>
    <w:qFormat/>
    <w:rsid w:val="00AA17F1"/>
    <w:pPr>
      <w:spacing w:after="120" w:line="240" w:lineRule="auto"/>
      <w:ind w:left="720"/>
      <w:contextualSpacing/>
    </w:pPr>
    <w:rPr>
      <w:rFonts w:eastAsia="Cambria" w:cs="Times New Roman"/>
      <w:szCs w:val="24"/>
    </w:rPr>
  </w:style>
  <w:style w:type="character" w:customStyle="1" w:styleId="warningchar">
    <w:name w:val="warning char"/>
    <w:rsid w:val="00AA17F1"/>
    <w:rPr>
      <w:rFonts w:ascii="TimesNewRoman" w:hAnsi="TimesNewRoman"/>
      <w:b/>
      <w:i/>
    </w:rPr>
  </w:style>
  <w:style w:type="paragraph" w:styleId="NormalWeb">
    <w:name w:val="Normal (Web)"/>
    <w:basedOn w:val="Normal"/>
    <w:uiPriority w:val="99"/>
    <w:semiHidden/>
    <w:unhideWhenUsed/>
    <w:rsid w:val="00AA17F1"/>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7B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B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60"/>
    <w:rPr>
      <w:rFonts w:ascii="Times New Roman" w:hAnsi="Times New Roman"/>
      <w:sz w:val="24"/>
    </w:rPr>
  </w:style>
  <w:style w:type="paragraph" w:styleId="Heading2">
    <w:name w:val="heading 2"/>
    <w:basedOn w:val="Normal"/>
    <w:next w:val="Normal"/>
    <w:link w:val="Heading2Char"/>
    <w:qFormat/>
    <w:rsid w:val="00AA17F1"/>
    <w:pPr>
      <w:keepNext/>
      <w:spacing w:after="120" w:line="240" w:lineRule="auto"/>
      <w:jc w:val="center"/>
      <w:outlineLvl w:val="1"/>
    </w:pPr>
    <w:rPr>
      <w:rFonts w:ascii="Arial" w:eastAsia="Times New Roman" w:hAnsi="Arial" w:cs="Times New Roman"/>
      <w:b/>
      <w:i/>
      <w:sz w:val="36"/>
      <w:szCs w:val="28"/>
    </w:rPr>
  </w:style>
  <w:style w:type="paragraph" w:styleId="Heading3">
    <w:name w:val="heading 3"/>
    <w:basedOn w:val="Normal"/>
    <w:next w:val="Normal"/>
    <w:link w:val="Heading3Char"/>
    <w:qFormat/>
    <w:rsid w:val="00AA17F1"/>
    <w:pPr>
      <w:keepNext/>
      <w:spacing w:before="180" w:after="60" w:line="240" w:lineRule="auto"/>
      <w:jc w:val="both"/>
      <w:outlineLvl w:val="2"/>
    </w:pPr>
    <w:rPr>
      <w:rFonts w:ascii="Arial" w:eastAsia="Times New Roman" w:hAnsi="Arial" w:cs="Times New Roman"/>
      <w:b/>
      <w:sz w:val="28"/>
      <w:szCs w:val="26"/>
    </w:rPr>
  </w:style>
  <w:style w:type="paragraph" w:styleId="Heading4">
    <w:name w:val="heading 4"/>
    <w:basedOn w:val="Normal"/>
    <w:next w:val="Normal"/>
    <w:link w:val="Heading4Char"/>
    <w:qFormat/>
    <w:rsid w:val="00AA17F1"/>
    <w:pPr>
      <w:keepNext/>
      <w:spacing w:before="60" w:after="60" w:line="240" w:lineRule="auto"/>
      <w:jc w:val="both"/>
      <w:outlineLvl w:val="3"/>
    </w:pPr>
    <w:rPr>
      <w:rFonts w:ascii="Arial" w:eastAsia="Times New Roman" w:hAnsi="Arial" w:cs="Arial"/>
      <w:b/>
      <w:sz w:val="26"/>
      <w:szCs w:val="28"/>
    </w:rPr>
  </w:style>
  <w:style w:type="paragraph" w:styleId="Heading5">
    <w:name w:val="heading 5"/>
    <w:basedOn w:val="Normal"/>
    <w:next w:val="Normal"/>
    <w:link w:val="Heading5Char"/>
    <w:qFormat/>
    <w:rsid w:val="00AA17F1"/>
    <w:pPr>
      <w:keepNext/>
      <w:spacing w:before="60" w:after="60" w:line="240" w:lineRule="auto"/>
      <w:jc w:val="both"/>
      <w:outlineLvl w:val="4"/>
    </w:pPr>
    <w:rPr>
      <w:rFonts w:ascii="Arial" w:eastAsia="Times New Roman" w:hAnsi="Arial" w:cs="Times New Roman"/>
      <w:b/>
      <w:bCs/>
      <w:i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A17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7F1"/>
    <w:rPr>
      <w:rFonts w:ascii="Times New Roman" w:hAnsi="Times New Roman"/>
      <w:sz w:val="20"/>
      <w:szCs w:val="20"/>
    </w:rPr>
  </w:style>
  <w:style w:type="character" w:styleId="EndnoteReference">
    <w:name w:val="endnote reference"/>
    <w:basedOn w:val="DefaultParagraphFont"/>
    <w:uiPriority w:val="99"/>
    <w:semiHidden/>
    <w:unhideWhenUsed/>
    <w:rsid w:val="00AA17F1"/>
    <w:rPr>
      <w:vertAlign w:val="superscript"/>
    </w:rPr>
  </w:style>
  <w:style w:type="paragraph" w:styleId="FootnoteText">
    <w:name w:val="footnote text"/>
    <w:basedOn w:val="Normal"/>
    <w:link w:val="FootnoteTextChar"/>
    <w:uiPriority w:val="99"/>
    <w:unhideWhenUsed/>
    <w:rsid w:val="00AA1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7F1"/>
    <w:rPr>
      <w:rFonts w:ascii="Times New Roman" w:hAnsi="Times New Roman"/>
      <w:sz w:val="20"/>
      <w:szCs w:val="20"/>
    </w:rPr>
  </w:style>
  <w:style w:type="character" w:styleId="FootnoteReference">
    <w:name w:val="footnote reference"/>
    <w:basedOn w:val="DefaultParagraphFont"/>
    <w:uiPriority w:val="99"/>
    <w:unhideWhenUsed/>
    <w:rsid w:val="00AA17F1"/>
    <w:rPr>
      <w:vertAlign w:val="superscript"/>
    </w:rPr>
  </w:style>
  <w:style w:type="paragraph" w:styleId="Header">
    <w:name w:val="header"/>
    <w:basedOn w:val="Normal"/>
    <w:link w:val="HeaderChar"/>
    <w:uiPriority w:val="99"/>
    <w:unhideWhenUsed/>
    <w:rsid w:val="00AA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7F1"/>
    <w:rPr>
      <w:rFonts w:ascii="Times New Roman" w:hAnsi="Times New Roman"/>
      <w:sz w:val="24"/>
    </w:rPr>
  </w:style>
  <w:style w:type="paragraph" w:styleId="Footer">
    <w:name w:val="footer"/>
    <w:basedOn w:val="Normal"/>
    <w:link w:val="FooterChar"/>
    <w:uiPriority w:val="99"/>
    <w:unhideWhenUsed/>
    <w:rsid w:val="00AA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7F1"/>
    <w:rPr>
      <w:rFonts w:ascii="Times New Roman" w:hAnsi="Times New Roman"/>
      <w:sz w:val="24"/>
    </w:rPr>
  </w:style>
  <w:style w:type="character" w:customStyle="1" w:styleId="Heading2Char">
    <w:name w:val="Heading 2 Char"/>
    <w:basedOn w:val="DefaultParagraphFont"/>
    <w:link w:val="Heading2"/>
    <w:rsid w:val="00AA17F1"/>
    <w:rPr>
      <w:rFonts w:ascii="Arial" w:eastAsia="Times New Roman" w:hAnsi="Arial" w:cs="Times New Roman"/>
      <w:b/>
      <w:i/>
      <w:sz w:val="36"/>
      <w:szCs w:val="28"/>
    </w:rPr>
  </w:style>
  <w:style w:type="character" w:customStyle="1" w:styleId="Heading3Char">
    <w:name w:val="Heading 3 Char"/>
    <w:basedOn w:val="DefaultParagraphFont"/>
    <w:link w:val="Heading3"/>
    <w:rsid w:val="00AA17F1"/>
    <w:rPr>
      <w:rFonts w:ascii="Arial" w:eastAsia="Times New Roman" w:hAnsi="Arial" w:cs="Times New Roman"/>
      <w:b/>
      <w:sz w:val="28"/>
      <w:szCs w:val="26"/>
    </w:rPr>
  </w:style>
  <w:style w:type="character" w:customStyle="1" w:styleId="Heading4Char">
    <w:name w:val="Heading 4 Char"/>
    <w:basedOn w:val="DefaultParagraphFont"/>
    <w:link w:val="Heading4"/>
    <w:rsid w:val="00AA17F1"/>
    <w:rPr>
      <w:rFonts w:ascii="Arial" w:eastAsia="Times New Roman" w:hAnsi="Arial" w:cs="Arial"/>
      <w:b/>
      <w:sz w:val="26"/>
      <w:szCs w:val="28"/>
    </w:rPr>
  </w:style>
  <w:style w:type="character" w:customStyle="1" w:styleId="Heading5Char">
    <w:name w:val="Heading 5 Char"/>
    <w:basedOn w:val="DefaultParagraphFont"/>
    <w:link w:val="Heading5"/>
    <w:rsid w:val="00AA17F1"/>
    <w:rPr>
      <w:rFonts w:ascii="Arial" w:eastAsia="Times New Roman" w:hAnsi="Arial" w:cs="Times New Roman"/>
      <w:b/>
      <w:bCs/>
      <w:iCs/>
      <w:color w:val="000000"/>
      <w:sz w:val="24"/>
      <w:szCs w:val="26"/>
    </w:rPr>
  </w:style>
  <w:style w:type="paragraph" w:styleId="Caption">
    <w:name w:val="caption"/>
    <w:basedOn w:val="Normal"/>
    <w:next w:val="Normal"/>
    <w:qFormat/>
    <w:rsid w:val="00AA17F1"/>
    <w:pPr>
      <w:spacing w:before="120" w:after="120" w:line="240" w:lineRule="auto"/>
      <w:ind w:left="432" w:right="432"/>
      <w:jc w:val="both"/>
    </w:pPr>
    <w:rPr>
      <w:rFonts w:eastAsia="Times New Roman" w:cs="Times New Roman"/>
      <w:b/>
      <w:bCs/>
      <w:sz w:val="20"/>
      <w:szCs w:val="20"/>
    </w:rPr>
  </w:style>
  <w:style w:type="table" w:styleId="TableGrid">
    <w:name w:val="Table Grid"/>
    <w:basedOn w:val="TableNormal"/>
    <w:uiPriority w:val="59"/>
    <w:rsid w:val="00AA17F1"/>
    <w:pPr>
      <w:spacing w:after="120" w:line="240" w:lineRule="auto"/>
      <w:jc w:val="both"/>
    </w:pPr>
    <w:rPr>
      <w:rFonts w:ascii="Times New Roman" w:eastAsia="Times New Roman" w:hAnsi="Times New Roman" w:cs="Times New Roman"/>
      <w:sz w:val="24"/>
      <w:szCs w:val="24"/>
      <w:lang w:bidi="x-none"/>
    </w:rPr>
    <w:tblPr>
      <w:tblInd w:w="0" w:type="dxa"/>
      <w:tblCellMar>
        <w:top w:w="0" w:type="dxa"/>
        <w:left w:w="108" w:type="dxa"/>
        <w:bottom w:w="0" w:type="dxa"/>
        <w:right w:w="108" w:type="dxa"/>
      </w:tblCellMar>
    </w:tblPr>
  </w:style>
  <w:style w:type="character" w:styleId="Hyperlink">
    <w:name w:val="Hyperlink"/>
    <w:rsid w:val="00AA17F1"/>
    <w:rPr>
      <w:color w:val="0000FF"/>
      <w:u w:val="single"/>
    </w:rPr>
  </w:style>
  <w:style w:type="paragraph" w:customStyle="1" w:styleId="figure">
    <w:name w:val="figure"/>
    <w:basedOn w:val="Normal"/>
    <w:next w:val="Caption"/>
    <w:rsid w:val="00AA17F1"/>
    <w:pPr>
      <w:keepNext/>
      <w:spacing w:after="120" w:line="240" w:lineRule="auto"/>
      <w:jc w:val="center"/>
    </w:pPr>
    <w:rPr>
      <w:rFonts w:eastAsia="Times New Roman" w:cs="Times New Roman"/>
      <w:color w:val="000000"/>
      <w:szCs w:val="24"/>
    </w:rPr>
  </w:style>
  <w:style w:type="paragraph" w:styleId="ListParagraph">
    <w:name w:val="List Paragraph"/>
    <w:basedOn w:val="Normal"/>
    <w:uiPriority w:val="34"/>
    <w:qFormat/>
    <w:rsid w:val="00AA17F1"/>
    <w:pPr>
      <w:spacing w:after="120" w:line="240" w:lineRule="auto"/>
      <w:ind w:left="720"/>
      <w:contextualSpacing/>
    </w:pPr>
    <w:rPr>
      <w:rFonts w:eastAsia="Cambria" w:cs="Times New Roman"/>
      <w:szCs w:val="24"/>
    </w:rPr>
  </w:style>
  <w:style w:type="character" w:customStyle="1" w:styleId="warningchar">
    <w:name w:val="warning char"/>
    <w:rsid w:val="00AA17F1"/>
    <w:rPr>
      <w:rFonts w:ascii="TimesNewRoman" w:hAnsi="TimesNewRoman"/>
      <w:b/>
      <w:i/>
    </w:rPr>
  </w:style>
  <w:style w:type="paragraph" w:styleId="NormalWeb">
    <w:name w:val="Normal (Web)"/>
    <w:basedOn w:val="Normal"/>
    <w:uiPriority w:val="99"/>
    <w:semiHidden/>
    <w:unhideWhenUsed/>
    <w:rsid w:val="00AA17F1"/>
    <w:pPr>
      <w:spacing w:before="100" w:beforeAutospacing="1" w:after="100" w:afterAutospacing="1" w:line="240" w:lineRule="auto"/>
    </w:pPr>
    <w:rPr>
      <w:rFonts w:eastAsiaTheme="minorEastAsia" w:cs="Times New Roman"/>
      <w:szCs w:val="24"/>
    </w:rPr>
  </w:style>
  <w:style w:type="paragraph" w:styleId="BalloonText">
    <w:name w:val="Balloon Text"/>
    <w:basedOn w:val="Normal"/>
    <w:link w:val="BalloonTextChar"/>
    <w:uiPriority w:val="99"/>
    <w:semiHidden/>
    <w:unhideWhenUsed/>
    <w:rsid w:val="007B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incyto.com/" TargetMode="External"/><Relationship Id="rId21" Type="http://schemas.openxmlformats.org/officeDocument/2006/relationships/chart" Target="charts/chart5.xm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en.wikipedia.org/wiki/File:EscherichiaColi_NIAID.jpg" TargetMode="External"/><Relationship Id="rId12" Type="http://schemas.openxmlformats.org/officeDocument/2006/relationships/hyperlink" Target="http://commons.wikimedia.org/wiki/File:Ecoli_O157_trans_elect_micrograph.jpg" TargetMode="Externa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image" Target="media/image3.jpeg"/><Relationship Id="rId18" Type="http://schemas.openxmlformats.org/officeDocument/2006/relationships/image" Target="media/image4.png"/><Relationship Id="rId19" Type="http://schemas.microsoft.com/office/2007/relationships/hdphoto" Target="media/hdphoto1.wdp"/><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science?_ob=ArticleURL&amp;_udi=B6WSN-4C5PPSP-2&amp;_user=1516330&amp;_rdoc=1&amp;_fmt=&amp;_orig=search&amp;_sort=d&amp;view=c&amp;_version=1&amp;_urlVersion=0&amp;_userid=1516330&amp;md5=cd4106c1a80e1e054bc197df454ef81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ush%20HD:Users:kdorfman:Documents:QBoC:manual:std%20curve.xls"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ush%20HD:Users:kdorfman:Documents:QBoC:manual:std%20curv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ush%20HD:Users:kdorfman:Documents:QBoC:manual:std%20curv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ush%20HD:Users:kdorfman:Documents:QBoC:manual:std%20curv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2" TargetMode="External"/><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03703703704"/>
          <c:y val="0.0435729847494553"/>
          <c:w val="0.866666666666667"/>
          <c:h val="0.814814814814815"/>
        </c:manualLayout>
      </c:layout>
      <c:scatterChart>
        <c:scatterStyle val="lineMarker"/>
        <c:varyColors val="0"/>
        <c:ser>
          <c:idx val="0"/>
          <c:order val="0"/>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intercept val="0.0"/>
            <c:dispRSqr val="1"/>
            <c:dispEq val="0"/>
            <c:trendlineLbl>
              <c:layout>
                <c:manualLayout>
                  <c:x val="-0.685995450568679"/>
                  <c:y val="0.0196078431372549"/>
                </c:manualLayout>
              </c:layout>
              <c:numFmt formatCode="General" sourceLinked="0"/>
            </c:trendlineLbl>
          </c:trendline>
          <c:xVal>
            <c:numRef>
              <c:f>'hi-lo-linear'!$A$10:$A$32</c:f>
              <c:numCache>
                <c:formatCode>General</c:formatCode>
                <c:ptCount val="23"/>
                <c:pt idx="0">
                  <c:v>0.1</c:v>
                </c:pt>
                <c:pt idx="1">
                  <c:v>0.2</c:v>
                </c:pt>
                <c:pt idx="2">
                  <c:v>0.4</c:v>
                </c:pt>
                <c:pt idx="3">
                  <c:v>0.6</c:v>
                </c:pt>
                <c:pt idx="4">
                  <c:v>0.8</c:v>
                </c:pt>
                <c:pt idx="5">
                  <c:v>1.0</c:v>
                </c:pt>
                <c:pt idx="6">
                  <c:v>2.0</c:v>
                </c:pt>
                <c:pt idx="7">
                  <c:v>3.0</c:v>
                </c:pt>
                <c:pt idx="8">
                  <c:v>4.0</c:v>
                </c:pt>
                <c:pt idx="9">
                  <c:v>5.0</c:v>
                </c:pt>
                <c:pt idx="10">
                  <c:v>6.0</c:v>
                </c:pt>
                <c:pt idx="11">
                  <c:v>7.0</c:v>
                </c:pt>
                <c:pt idx="12">
                  <c:v>8.0</c:v>
                </c:pt>
                <c:pt idx="13">
                  <c:v>9.0</c:v>
                </c:pt>
                <c:pt idx="14">
                  <c:v>10.0</c:v>
                </c:pt>
                <c:pt idx="15">
                  <c:v>11.0</c:v>
                </c:pt>
                <c:pt idx="16">
                  <c:v>12.0</c:v>
                </c:pt>
                <c:pt idx="17">
                  <c:v>13.0</c:v>
                </c:pt>
                <c:pt idx="18">
                  <c:v>14.0</c:v>
                </c:pt>
                <c:pt idx="19">
                  <c:v>15.0</c:v>
                </c:pt>
                <c:pt idx="20">
                  <c:v>16.0</c:v>
                </c:pt>
                <c:pt idx="21">
                  <c:v>18.0</c:v>
                </c:pt>
                <c:pt idx="22">
                  <c:v>20.0</c:v>
                </c:pt>
              </c:numCache>
            </c:numRef>
          </c:xVal>
          <c:yVal>
            <c:numRef>
              <c:f>'hi-lo-linear'!$B$10:$B$32</c:f>
              <c:numCache>
                <c:formatCode>General</c:formatCode>
                <c:ptCount val="23"/>
                <c:pt idx="0">
                  <c:v>0.145</c:v>
                </c:pt>
                <c:pt idx="1">
                  <c:v>0.12</c:v>
                </c:pt>
                <c:pt idx="2">
                  <c:v>0.16</c:v>
                </c:pt>
                <c:pt idx="3">
                  <c:v>0.11</c:v>
                </c:pt>
                <c:pt idx="4">
                  <c:v>0.175</c:v>
                </c:pt>
                <c:pt idx="5">
                  <c:v>0.14</c:v>
                </c:pt>
                <c:pt idx="6">
                  <c:v>0.175</c:v>
                </c:pt>
                <c:pt idx="7">
                  <c:v>0.31</c:v>
                </c:pt>
                <c:pt idx="8">
                  <c:v>0.37</c:v>
                </c:pt>
                <c:pt idx="9">
                  <c:v>0.525</c:v>
                </c:pt>
                <c:pt idx="10">
                  <c:v>0.67</c:v>
                </c:pt>
                <c:pt idx="11">
                  <c:v>0.75</c:v>
                </c:pt>
                <c:pt idx="12">
                  <c:v>0.79</c:v>
                </c:pt>
                <c:pt idx="13">
                  <c:v>0.95</c:v>
                </c:pt>
                <c:pt idx="14">
                  <c:v>1.01</c:v>
                </c:pt>
                <c:pt idx="15">
                  <c:v>0.95</c:v>
                </c:pt>
                <c:pt idx="16">
                  <c:v>1.15</c:v>
                </c:pt>
                <c:pt idx="17">
                  <c:v>0.89</c:v>
                </c:pt>
                <c:pt idx="18">
                  <c:v>1.0</c:v>
                </c:pt>
                <c:pt idx="19">
                  <c:v>1.15</c:v>
                </c:pt>
                <c:pt idx="20">
                  <c:v>1.02</c:v>
                </c:pt>
                <c:pt idx="21">
                  <c:v>1.175</c:v>
                </c:pt>
                <c:pt idx="22">
                  <c:v>0.94</c:v>
                </c:pt>
              </c:numCache>
            </c:numRef>
          </c:yVal>
          <c:smooth val="0"/>
          <c:extLst xmlns:c16r2="http://schemas.microsoft.com/office/drawing/2015/06/chart">
            <c:ext xmlns:c16="http://schemas.microsoft.com/office/drawing/2014/chart" uri="{C3380CC4-5D6E-409C-BE32-E72D297353CC}">
              <c16:uniqueId val="{00000001-5893-4243-A608-D02FE1FF5F2C}"/>
            </c:ext>
          </c:extLst>
        </c:ser>
        <c:dLbls>
          <c:showLegendKey val="0"/>
          <c:showVal val="0"/>
          <c:showCatName val="0"/>
          <c:showSerName val="0"/>
          <c:showPercent val="0"/>
          <c:showBubbleSize val="0"/>
        </c:dLbls>
        <c:axId val="2073002328"/>
        <c:axId val="2073010440"/>
      </c:scatterChart>
      <c:valAx>
        <c:axId val="2073002328"/>
        <c:scaling>
          <c:orientation val="minMax"/>
          <c:max val="20.0"/>
        </c:scaling>
        <c:delete val="0"/>
        <c:axPos val="b"/>
        <c:title>
          <c:tx>
            <c:rich>
              <a:bodyPr/>
              <a:lstStyle/>
              <a:p>
                <a:pPr>
                  <a:defRPr/>
                </a:pPr>
                <a:r>
                  <a:rPr lang="en-US"/>
                  <a:t>concentration</a:t>
                </a:r>
              </a:p>
            </c:rich>
          </c:tx>
          <c:layout>
            <c:manualLayout>
              <c:xMode val="edge"/>
              <c:yMode val="edge"/>
              <c:x val="0.460740740740741"/>
              <c:y val="0.9281045751633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3010440"/>
        <c:crosses val="autoZero"/>
        <c:crossBetween val="midCat"/>
      </c:valAx>
      <c:valAx>
        <c:axId val="2073010440"/>
        <c:scaling>
          <c:orientation val="minMax"/>
          <c:max val="1.4"/>
        </c:scaling>
        <c:delete val="0"/>
        <c:axPos val="l"/>
        <c:majorGridlines>
          <c:spPr>
            <a:ln w="3175">
              <a:solidFill>
                <a:srgbClr val="000000"/>
              </a:solidFill>
              <a:prstDash val="solid"/>
            </a:ln>
          </c:spPr>
        </c:majorGridlines>
        <c:title>
          <c:tx>
            <c:rich>
              <a:bodyPr/>
              <a:lstStyle/>
              <a:p>
                <a:pPr>
                  <a:defRPr/>
                </a:pPr>
                <a:r>
                  <a:rPr lang="en-US"/>
                  <a:t>absorbance</a:t>
                </a:r>
              </a:p>
            </c:rich>
          </c:tx>
          <c:layout>
            <c:manualLayout>
              <c:xMode val="edge"/>
              <c:yMode val="edge"/>
              <c:x val="0.0133333333333333"/>
              <c:y val="0.3529411764705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3002328"/>
        <c:crosses val="autoZero"/>
        <c:crossBetween val="midCat"/>
      </c:valAx>
      <c:spPr>
        <a:solidFill>
          <a:srgbClr val="FFFFFF"/>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03703703704"/>
          <c:y val="0.0435729847494553"/>
          <c:w val="0.866666666666667"/>
          <c:h val="0.814814814814815"/>
        </c:manualLayout>
      </c:layout>
      <c:scatterChart>
        <c:scatterStyle val="lineMarker"/>
        <c:varyColors val="0"/>
        <c:ser>
          <c:idx val="0"/>
          <c:order val="0"/>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dispRSqr val="1"/>
            <c:dispEq val="0"/>
            <c:trendlineLbl>
              <c:layout>
                <c:manualLayout>
                  <c:x val="-0.684791717701954"/>
                  <c:y val="-0.133575901051584"/>
                </c:manualLayout>
              </c:layout>
              <c:numFmt formatCode="General" sourceLinked="0"/>
            </c:trendlineLbl>
          </c:trendline>
          <c:xVal>
            <c:numRef>
              <c:f>'hi-lo-linear'!$A$25:$A$32</c:f>
              <c:numCache>
                <c:formatCode>General</c:formatCode>
                <c:ptCount val="8"/>
                <c:pt idx="0">
                  <c:v>11.0</c:v>
                </c:pt>
                <c:pt idx="1">
                  <c:v>12.0</c:v>
                </c:pt>
                <c:pt idx="2">
                  <c:v>13.0</c:v>
                </c:pt>
                <c:pt idx="3">
                  <c:v>14.0</c:v>
                </c:pt>
                <c:pt idx="4">
                  <c:v>15.0</c:v>
                </c:pt>
                <c:pt idx="5">
                  <c:v>16.0</c:v>
                </c:pt>
                <c:pt idx="6">
                  <c:v>18.0</c:v>
                </c:pt>
                <c:pt idx="7">
                  <c:v>20.0</c:v>
                </c:pt>
              </c:numCache>
            </c:numRef>
          </c:xVal>
          <c:yVal>
            <c:numRef>
              <c:f>'hi-lo-linear'!$B$25:$B$32</c:f>
              <c:numCache>
                <c:formatCode>General</c:formatCode>
                <c:ptCount val="8"/>
                <c:pt idx="0">
                  <c:v>0.95</c:v>
                </c:pt>
                <c:pt idx="1">
                  <c:v>1.15</c:v>
                </c:pt>
                <c:pt idx="2">
                  <c:v>0.89</c:v>
                </c:pt>
                <c:pt idx="3">
                  <c:v>1.0</c:v>
                </c:pt>
                <c:pt idx="4">
                  <c:v>1.15</c:v>
                </c:pt>
                <c:pt idx="5">
                  <c:v>1.02</c:v>
                </c:pt>
                <c:pt idx="6">
                  <c:v>1.175</c:v>
                </c:pt>
                <c:pt idx="7">
                  <c:v>0.94</c:v>
                </c:pt>
              </c:numCache>
            </c:numRef>
          </c:yVal>
          <c:smooth val="0"/>
          <c:extLst xmlns:c16r2="http://schemas.microsoft.com/office/drawing/2015/06/chart">
            <c:ext xmlns:c16="http://schemas.microsoft.com/office/drawing/2014/chart" uri="{C3380CC4-5D6E-409C-BE32-E72D297353CC}">
              <c16:uniqueId val="{00000001-D28B-4C33-A860-5DD671CB8DB9}"/>
            </c:ext>
          </c:extLst>
        </c:ser>
        <c:dLbls>
          <c:showLegendKey val="0"/>
          <c:showVal val="0"/>
          <c:showCatName val="0"/>
          <c:showSerName val="0"/>
          <c:showPercent val="0"/>
          <c:showBubbleSize val="0"/>
        </c:dLbls>
        <c:axId val="2074988152"/>
        <c:axId val="2074994088"/>
      </c:scatterChart>
      <c:valAx>
        <c:axId val="2074988152"/>
        <c:scaling>
          <c:orientation val="minMax"/>
          <c:max val="20.0"/>
        </c:scaling>
        <c:delete val="0"/>
        <c:axPos val="b"/>
        <c:title>
          <c:tx>
            <c:rich>
              <a:bodyPr/>
              <a:lstStyle/>
              <a:p>
                <a:pPr>
                  <a:defRPr/>
                </a:pPr>
                <a:r>
                  <a:rPr lang="en-US"/>
                  <a:t>concentration</a:t>
                </a:r>
              </a:p>
            </c:rich>
          </c:tx>
          <c:layout>
            <c:manualLayout>
              <c:xMode val="edge"/>
              <c:yMode val="edge"/>
              <c:x val="0.460740740740741"/>
              <c:y val="0.9281045751633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4994088"/>
        <c:crosses val="autoZero"/>
        <c:crossBetween val="midCat"/>
      </c:valAx>
      <c:valAx>
        <c:axId val="2074994088"/>
        <c:scaling>
          <c:orientation val="minMax"/>
        </c:scaling>
        <c:delete val="0"/>
        <c:axPos val="l"/>
        <c:majorGridlines>
          <c:spPr>
            <a:ln w="3175">
              <a:solidFill>
                <a:srgbClr val="000000"/>
              </a:solidFill>
              <a:prstDash val="solid"/>
            </a:ln>
          </c:spPr>
        </c:majorGridlines>
        <c:title>
          <c:tx>
            <c:rich>
              <a:bodyPr/>
              <a:lstStyle/>
              <a:p>
                <a:pPr>
                  <a:defRPr/>
                </a:pPr>
                <a:r>
                  <a:rPr lang="en-US"/>
                  <a:t>absorbance</a:t>
                </a:r>
              </a:p>
            </c:rich>
          </c:tx>
          <c:layout>
            <c:manualLayout>
              <c:xMode val="edge"/>
              <c:yMode val="edge"/>
              <c:x val="0.0133333333333333"/>
              <c:y val="0.3529411764705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4988152"/>
        <c:crosses val="autoZero"/>
        <c:crossBetween val="midCat"/>
      </c:valAx>
      <c:spPr>
        <a:solidFill>
          <a:srgbClr val="FFFFFF"/>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03703703704"/>
          <c:y val="0.0435729847494553"/>
          <c:w val="0.866666666666667"/>
          <c:h val="0.814814814814815"/>
        </c:manualLayout>
      </c:layout>
      <c:scatterChart>
        <c:scatterStyle val="lineMarker"/>
        <c:varyColors val="0"/>
        <c:ser>
          <c:idx val="0"/>
          <c:order val="0"/>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dispRSqr val="1"/>
            <c:dispEq val="0"/>
            <c:trendlineLbl>
              <c:layout>
                <c:manualLayout>
                  <c:x val="-0.517384310294547"/>
                  <c:y val="-0.68609627227969"/>
                </c:manualLayout>
              </c:layout>
              <c:numFmt formatCode="General" sourceLinked="0"/>
            </c:trendlineLbl>
          </c:trendline>
          <c:xVal>
            <c:numRef>
              <c:f>'hi-lo-linear'!$A$10:$A$14</c:f>
              <c:numCache>
                <c:formatCode>General</c:formatCode>
                <c:ptCount val="5"/>
                <c:pt idx="0">
                  <c:v>0.1</c:v>
                </c:pt>
                <c:pt idx="1">
                  <c:v>0.2</c:v>
                </c:pt>
                <c:pt idx="2">
                  <c:v>0.4</c:v>
                </c:pt>
                <c:pt idx="3">
                  <c:v>0.6</c:v>
                </c:pt>
                <c:pt idx="4">
                  <c:v>0.8</c:v>
                </c:pt>
              </c:numCache>
            </c:numRef>
          </c:xVal>
          <c:yVal>
            <c:numRef>
              <c:f>'hi-lo-linear'!$B$10:$B$14</c:f>
              <c:numCache>
                <c:formatCode>General</c:formatCode>
                <c:ptCount val="5"/>
                <c:pt idx="0">
                  <c:v>0.145</c:v>
                </c:pt>
                <c:pt idx="1">
                  <c:v>0.12</c:v>
                </c:pt>
                <c:pt idx="2">
                  <c:v>0.16</c:v>
                </c:pt>
                <c:pt idx="3">
                  <c:v>0.11</c:v>
                </c:pt>
                <c:pt idx="4">
                  <c:v>0.175</c:v>
                </c:pt>
              </c:numCache>
            </c:numRef>
          </c:yVal>
          <c:smooth val="0"/>
          <c:extLst xmlns:c16r2="http://schemas.microsoft.com/office/drawing/2015/06/chart">
            <c:ext xmlns:c16="http://schemas.microsoft.com/office/drawing/2014/chart" uri="{C3380CC4-5D6E-409C-BE32-E72D297353CC}">
              <c16:uniqueId val="{00000001-709E-4816-8393-B00B7FD000C4}"/>
            </c:ext>
          </c:extLst>
        </c:ser>
        <c:dLbls>
          <c:showLegendKey val="0"/>
          <c:showVal val="0"/>
          <c:showCatName val="0"/>
          <c:showSerName val="0"/>
          <c:showPercent val="0"/>
          <c:showBubbleSize val="0"/>
        </c:dLbls>
        <c:axId val="2072297720"/>
        <c:axId val="2072291352"/>
      </c:scatterChart>
      <c:valAx>
        <c:axId val="2072297720"/>
        <c:scaling>
          <c:orientation val="minMax"/>
          <c:max val="1.0"/>
        </c:scaling>
        <c:delete val="0"/>
        <c:axPos val="b"/>
        <c:title>
          <c:tx>
            <c:rich>
              <a:bodyPr/>
              <a:lstStyle/>
              <a:p>
                <a:pPr>
                  <a:defRPr/>
                </a:pPr>
                <a:r>
                  <a:rPr lang="en-US"/>
                  <a:t>concentration</a:t>
                </a:r>
              </a:p>
            </c:rich>
          </c:tx>
          <c:layout>
            <c:manualLayout>
              <c:xMode val="edge"/>
              <c:yMode val="edge"/>
              <c:x val="0.460740740740741"/>
              <c:y val="0.9281045751633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2291352"/>
        <c:crosses val="autoZero"/>
        <c:crossBetween val="midCat"/>
      </c:valAx>
      <c:valAx>
        <c:axId val="2072291352"/>
        <c:scaling>
          <c:orientation val="minMax"/>
          <c:max val="1.4"/>
        </c:scaling>
        <c:delete val="0"/>
        <c:axPos val="l"/>
        <c:majorGridlines>
          <c:spPr>
            <a:ln w="3175">
              <a:solidFill>
                <a:srgbClr val="000000"/>
              </a:solidFill>
              <a:prstDash val="solid"/>
            </a:ln>
          </c:spPr>
        </c:majorGridlines>
        <c:title>
          <c:tx>
            <c:rich>
              <a:bodyPr/>
              <a:lstStyle/>
              <a:p>
                <a:pPr>
                  <a:defRPr/>
                </a:pPr>
                <a:r>
                  <a:rPr lang="en-US"/>
                  <a:t>absorbance</a:t>
                </a:r>
              </a:p>
            </c:rich>
          </c:tx>
          <c:layout>
            <c:manualLayout>
              <c:xMode val="edge"/>
              <c:yMode val="edge"/>
              <c:x val="0.0133333333333333"/>
              <c:y val="0.3529411764705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2297720"/>
        <c:crosses val="autoZero"/>
        <c:crossBetween val="midCat"/>
      </c:valAx>
      <c:spPr>
        <a:solidFill>
          <a:srgbClr val="FFFFFF"/>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703703703704"/>
          <c:y val="0.0435729847494553"/>
          <c:w val="0.866666666666667"/>
          <c:h val="0.814814814814815"/>
        </c:manualLayout>
      </c:layout>
      <c:scatterChart>
        <c:scatterStyle val="lineMarker"/>
        <c:varyColors val="0"/>
        <c:ser>
          <c:idx val="0"/>
          <c:order val="0"/>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intercept val="0.0"/>
            <c:dispRSqr val="1"/>
            <c:dispEq val="1"/>
            <c:trendlineLbl>
              <c:layout>
                <c:manualLayout>
                  <c:x val="-0.258588043161271"/>
                  <c:y val="-0.156818314377369"/>
                </c:manualLayout>
              </c:layout>
              <c:numFmt formatCode="General" sourceLinked="0"/>
            </c:trendlineLbl>
          </c:trendline>
          <c:xVal>
            <c:numRef>
              <c:f>'linear region'!$A$1:$A$10</c:f>
              <c:numCache>
                <c:formatCode>General</c:formatCode>
                <c:ptCount val="10"/>
                <c:pt idx="0">
                  <c:v>1.0</c:v>
                </c:pt>
                <c:pt idx="1">
                  <c:v>2.0</c:v>
                </c:pt>
                <c:pt idx="2">
                  <c:v>3.0</c:v>
                </c:pt>
                <c:pt idx="3">
                  <c:v>4.0</c:v>
                </c:pt>
                <c:pt idx="4">
                  <c:v>5.0</c:v>
                </c:pt>
                <c:pt idx="5">
                  <c:v>6.0</c:v>
                </c:pt>
                <c:pt idx="6">
                  <c:v>7.0</c:v>
                </c:pt>
                <c:pt idx="7">
                  <c:v>8.0</c:v>
                </c:pt>
                <c:pt idx="8">
                  <c:v>9.0</c:v>
                </c:pt>
                <c:pt idx="9">
                  <c:v>10.0</c:v>
                </c:pt>
              </c:numCache>
            </c:numRef>
          </c:xVal>
          <c:yVal>
            <c:numRef>
              <c:f>'linear region'!$B$1:$B$10</c:f>
              <c:numCache>
                <c:formatCode>General</c:formatCode>
                <c:ptCount val="10"/>
                <c:pt idx="0">
                  <c:v>0.14</c:v>
                </c:pt>
                <c:pt idx="1">
                  <c:v>0.175</c:v>
                </c:pt>
                <c:pt idx="2">
                  <c:v>0.31</c:v>
                </c:pt>
                <c:pt idx="3">
                  <c:v>0.37</c:v>
                </c:pt>
                <c:pt idx="4">
                  <c:v>0.525</c:v>
                </c:pt>
                <c:pt idx="5">
                  <c:v>0.67</c:v>
                </c:pt>
                <c:pt idx="6">
                  <c:v>0.75</c:v>
                </c:pt>
                <c:pt idx="7">
                  <c:v>0.79</c:v>
                </c:pt>
                <c:pt idx="8">
                  <c:v>0.95</c:v>
                </c:pt>
                <c:pt idx="9">
                  <c:v>1.01</c:v>
                </c:pt>
              </c:numCache>
            </c:numRef>
          </c:yVal>
          <c:smooth val="0"/>
          <c:extLst xmlns:c16r2="http://schemas.microsoft.com/office/drawing/2015/06/chart">
            <c:ext xmlns:c16="http://schemas.microsoft.com/office/drawing/2014/chart" uri="{C3380CC4-5D6E-409C-BE32-E72D297353CC}">
              <c16:uniqueId val="{00000001-54B9-4623-B8AC-4F340013A3BF}"/>
            </c:ext>
          </c:extLst>
        </c:ser>
        <c:ser>
          <c:idx val="1"/>
          <c:order val="1"/>
          <c:spPr>
            <a:ln w="25400">
              <a:solidFill>
                <a:srgbClr val="000000"/>
              </a:solidFill>
              <a:prstDash val="lgDash"/>
            </a:ln>
          </c:spPr>
          <c:marker>
            <c:symbol val="none"/>
          </c:marker>
          <c:xVal>
            <c:numRef>
              <c:f>'linear region'!$D$1:$D$7</c:f>
              <c:numCache>
                <c:formatCode>General</c:formatCode>
                <c:ptCount val="7"/>
                <c:pt idx="0">
                  <c:v>0.0</c:v>
                </c:pt>
                <c:pt idx="1">
                  <c:v>1.0</c:v>
                </c:pt>
                <c:pt idx="2">
                  <c:v>2.0</c:v>
                </c:pt>
                <c:pt idx="3">
                  <c:v>3.0</c:v>
                </c:pt>
                <c:pt idx="4">
                  <c:v>4.0</c:v>
                </c:pt>
                <c:pt idx="5">
                  <c:v>5.0</c:v>
                </c:pt>
                <c:pt idx="6">
                  <c:v>6.775974025974027</c:v>
                </c:pt>
              </c:numCache>
            </c:numRef>
          </c:xVal>
          <c:yVal>
            <c:numRef>
              <c:f>'linear region'!$E$1:$E$7</c:f>
              <c:numCache>
                <c:formatCode>General</c:formatCode>
                <c:ptCount val="7"/>
                <c:pt idx="0">
                  <c:v>0.7</c:v>
                </c:pt>
                <c:pt idx="1">
                  <c:v>0.7</c:v>
                </c:pt>
                <c:pt idx="2">
                  <c:v>0.7</c:v>
                </c:pt>
                <c:pt idx="3">
                  <c:v>0.7</c:v>
                </c:pt>
                <c:pt idx="4">
                  <c:v>0.7</c:v>
                </c:pt>
                <c:pt idx="5">
                  <c:v>0.7</c:v>
                </c:pt>
                <c:pt idx="6">
                  <c:v>0.7</c:v>
                </c:pt>
              </c:numCache>
            </c:numRef>
          </c:yVal>
          <c:smooth val="0"/>
          <c:extLst xmlns:c16r2="http://schemas.microsoft.com/office/drawing/2015/06/chart">
            <c:ext xmlns:c16="http://schemas.microsoft.com/office/drawing/2014/chart" uri="{C3380CC4-5D6E-409C-BE32-E72D297353CC}">
              <c16:uniqueId val="{00000002-54B9-4623-B8AC-4F340013A3BF}"/>
            </c:ext>
          </c:extLst>
        </c:ser>
        <c:ser>
          <c:idx val="2"/>
          <c:order val="2"/>
          <c:spPr>
            <a:ln w="25400">
              <a:solidFill>
                <a:srgbClr val="000000"/>
              </a:solidFill>
              <a:prstDash val="lgDash"/>
            </a:ln>
          </c:spPr>
          <c:marker>
            <c:symbol val="none"/>
          </c:marker>
          <c:xVal>
            <c:numRef>
              <c:f>'linear region'!$G$1:$G$8</c:f>
              <c:numCache>
                <c:formatCode>General</c:formatCode>
                <c:ptCount val="8"/>
                <c:pt idx="0">
                  <c:v>6.775974025974027</c:v>
                </c:pt>
                <c:pt idx="1">
                  <c:v>6.775974025974027</c:v>
                </c:pt>
                <c:pt idx="2">
                  <c:v>6.775974025974027</c:v>
                </c:pt>
                <c:pt idx="3">
                  <c:v>6.775974025974027</c:v>
                </c:pt>
                <c:pt idx="4">
                  <c:v>6.775974025974027</c:v>
                </c:pt>
                <c:pt idx="5">
                  <c:v>6.775974025974027</c:v>
                </c:pt>
                <c:pt idx="6">
                  <c:v>6.775974025974027</c:v>
                </c:pt>
                <c:pt idx="7">
                  <c:v>6.775974025974027</c:v>
                </c:pt>
              </c:numCache>
            </c:numRef>
          </c:xVal>
          <c:yVal>
            <c:numRef>
              <c:f>'linear region'!$H$1:$H$8</c:f>
              <c:numCache>
                <c:formatCode>General</c:formatCode>
                <c:ptCount val="8"/>
                <c:pt idx="0">
                  <c:v>0.0</c:v>
                </c:pt>
                <c:pt idx="1">
                  <c:v>0.1</c:v>
                </c:pt>
                <c:pt idx="2">
                  <c:v>0.2</c:v>
                </c:pt>
                <c:pt idx="3">
                  <c:v>0.3</c:v>
                </c:pt>
                <c:pt idx="4">
                  <c:v>0.4</c:v>
                </c:pt>
                <c:pt idx="5">
                  <c:v>0.5</c:v>
                </c:pt>
                <c:pt idx="6">
                  <c:v>0.6</c:v>
                </c:pt>
                <c:pt idx="7">
                  <c:v>0.7</c:v>
                </c:pt>
              </c:numCache>
            </c:numRef>
          </c:yVal>
          <c:smooth val="0"/>
          <c:extLst xmlns:c16r2="http://schemas.microsoft.com/office/drawing/2015/06/chart">
            <c:ext xmlns:c16="http://schemas.microsoft.com/office/drawing/2014/chart" uri="{C3380CC4-5D6E-409C-BE32-E72D297353CC}">
              <c16:uniqueId val="{00000003-54B9-4623-B8AC-4F340013A3BF}"/>
            </c:ext>
          </c:extLst>
        </c:ser>
        <c:dLbls>
          <c:showLegendKey val="0"/>
          <c:showVal val="0"/>
          <c:showCatName val="0"/>
          <c:showSerName val="0"/>
          <c:showPercent val="0"/>
          <c:showBubbleSize val="0"/>
        </c:dLbls>
        <c:axId val="2075022376"/>
        <c:axId val="2075028424"/>
      </c:scatterChart>
      <c:valAx>
        <c:axId val="2075022376"/>
        <c:scaling>
          <c:orientation val="minMax"/>
          <c:max val="20.0"/>
        </c:scaling>
        <c:delete val="0"/>
        <c:axPos val="b"/>
        <c:title>
          <c:tx>
            <c:rich>
              <a:bodyPr/>
              <a:lstStyle/>
              <a:p>
                <a:pPr>
                  <a:defRPr/>
                </a:pPr>
                <a:r>
                  <a:rPr lang="en-US"/>
                  <a:t>concentration</a:t>
                </a:r>
              </a:p>
            </c:rich>
          </c:tx>
          <c:layout>
            <c:manualLayout>
              <c:xMode val="edge"/>
              <c:yMode val="edge"/>
              <c:x val="0.460740740740741"/>
              <c:y val="0.9281045751633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5028424"/>
        <c:crosses val="autoZero"/>
        <c:crossBetween val="midCat"/>
      </c:valAx>
      <c:valAx>
        <c:axId val="2075028424"/>
        <c:scaling>
          <c:orientation val="minMax"/>
          <c:max val="1.4"/>
        </c:scaling>
        <c:delete val="0"/>
        <c:axPos val="l"/>
        <c:majorGridlines>
          <c:spPr>
            <a:ln w="3175">
              <a:solidFill>
                <a:srgbClr val="000000"/>
              </a:solidFill>
              <a:prstDash val="solid"/>
            </a:ln>
          </c:spPr>
        </c:majorGridlines>
        <c:title>
          <c:tx>
            <c:rich>
              <a:bodyPr/>
              <a:lstStyle/>
              <a:p>
                <a:pPr>
                  <a:defRPr/>
                </a:pPr>
                <a:r>
                  <a:rPr lang="en-US"/>
                  <a:t>absorbance</a:t>
                </a:r>
              </a:p>
            </c:rich>
          </c:tx>
          <c:layout>
            <c:manualLayout>
              <c:xMode val="edge"/>
              <c:yMode val="edge"/>
              <c:x val="0.0133333333333333"/>
              <c:y val="0.35294117647058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2075022376"/>
        <c:crosses val="autoZero"/>
        <c:crossBetween val="midCat"/>
      </c:valAx>
      <c:spPr>
        <a:solidFill>
          <a:srgbClr val="FFFFFF"/>
        </a:solidFill>
        <a:ln w="12700">
          <a:solidFill>
            <a:srgbClr val="808080"/>
          </a:solidFill>
          <a:prstDash val="solid"/>
        </a:ln>
      </c:spPr>
    </c:plotArea>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OD</c:v>
                </c:pt>
              </c:strCache>
            </c:strRef>
          </c:tx>
          <c:spPr>
            <a:ln w="47625">
              <a:noFill/>
            </a:ln>
            <a:effectLst/>
          </c:spPr>
          <c:marker>
            <c:symbol val="diamond"/>
            <c:size val="7"/>
            <c:spPr>
              <a:noFill/>
              <a:ln>
                <a:solidFill>
                  <a:schemeClr val="tx1"/>
                </a:solidFill>
              </a:ln>
              <a:effectLst/>
            </c:spPr>
          </c:marker>
          <c:trendline>
            <c:trendlineType val="linear"/>
            <c:dispRSqr val="0"/>
            <c:dispEq val="0"/>
          </c:trendline>
          <c:xVal>
            <c:numRef>
              <c:f>Sheet1!$A$2:$A$21</c:f>
              <c:numCache>
                <c:formatCode>General</c:formatCode>
                <c:ptCount val="20"/>
                <c:pt idx="0">
                  <c:v>1.0E-9</c:v>
                </c:pt>
                <c:pt idx="1">
                  <c:v>1.0E-8</c:v>
                </c:pt>
                <c:pt idx="2">
                  <c:v>1.0E-7</c:v>
                </c:pt>
                <c:pt idx="3">
                  <c:v>1.0E-6</c:v>
                </c:pt>
                <c:pt idx="4">
                  <c:v>1.0E-5</c:v>
                </c:pt>
                <c:pt idx="5">
                  <c:v>0.0001</c:v>
                </c:pt>
                <c:pt idx="6">
                  <c:v>0.001</c:v>
                </c:pt>
                <c:pt idx="7">
                  <c:v>0.001953125</c:v>
                </c:pt>
                <c:pt idx="8">
                  <c:v>0.00390625</c:v>
                </c:pt>
                <c:pt idx="9">
                  <c:v>0.0078125</c:v>
                </c:pt>
                <c:pt idx="10">
                  <c:v>0.01</c:v>
                </c:pt>
                <c:pt idx="11">
                  <c:v>0.015625</c:v>
                </c:pt>
                <c:pt idx="12">
                  <c:v>0.03125</c:v>
                </c:pt>
                <c:pt idx="13">
                  <c:v>0.0625</c:v>
                </c:pt>
                <c:pt idx="14">
                  <c:v>0.1</c:v>
                </c:pt>
                <c:pt idx="15">
                  <c:v>0.125</c:v>
                </c:pt>
                <c:pt idx="16">
                  <c:v>0.25</c:v>
                </c:pt>
                <c:pt idx="17">
                  <c:v>0.5</c:v>
                </c:pt>
                <c:pt idx="18">
                  <c:v>1.0</c:v>
                </c:pt>
                <c:pt idx="19">
                  <c:v>1.0</c:v>
                </c:pt>
              </c:numCache>
            </c:numRef>
          </c:xVal>
          <c:yVal>
            <c:numRef>
              <c:f>Sheet1!$B$2:$B$21</c:f>
              <c:numCache>
                <c:formatCode>General</c:formatCode>
                <c:ptCount val="20"/>
                <c:pt idx="0">
                  <c:v>0.2575</c:v>
                </c:pt>
                <c:pt idx="1">
                  <c:v>0.2508</c:v>
                </c:pt>
                <c:pt idx="2">
                  <c:v>0.247</c:v>
                </c:pt>
                <c:pt idx="3">
                  <c:v>0.2458</c:v>
                </c:pt>
                <c:pt idx="4">
                  <c:v>0.1955</c:v>
                </c:pt>
                <c:pt idx="5">
                  <c:v>0.2553</c:v>
                </c:pt>
                <c:pt idx="6">
                  <c:v>0.2415</c:v>
                </c:pt>
                <c:pt idx="7">
                  <c:v>0.2904</c:v>
                </c:pt>
                <c:pt idx="8">
                  <c:v>0.2638</c:v>
                </c:pt>
                <c:pt idx="9">
                  <c:v>0.207</c:v>
                </c:pt>
                <c:pt idx="10">
                  <c:v>0.3156</c:v>
                </c:pt>
                <c:pt idx="11">
                  <c:v>0.2341</c:v>
                </c:pt>
                <c:pt idx="12">
                  <c:v>0.3012</c:v>
                </c:pt>
                <c:pt idx="13">
                  <c:v>0.3813</c:v>
                </c:pt>
                <c:pt idx="14">
                  <c:v>0.4805</c:v>
                </c:pt>
                <c:pt idx="15">
                  <c:v>0.4495</c:v>
                </c:pt>
                <c:pt idx="16">
                  <c:v>0.6881</c:v>
                </c:pt>
                <c:pt idx="17">
                  <c:v>1.0594</c:v>
                </c:pt>
                <c:pt idx="18">
                  <c:v>1.7322</c:v>
                </c:pt>
                <c:pt idx="19">
                  <c:v>1.8613</c:v>
                </c:pt>
              </c:numCache>
            </c:numRef>
          </c:yVal>
          <c:smooth val="0"/>
          <c:extLst xmlns:c16r2="http://schemas.microsoft.com/office/drawing/2015/06/chart">
            <c:ext xmlns:c16="http://schemas.microsoft.com/office/drawing/2014/chart" uri="{C3380CC4-5D6E-409C-BE32-E72D297353CC}">
              <c16:uniqueId val="{00000001-12C4-4F8E-89E1-F95687FDD010}"/>
            </c:ext>
          </c:extLst>
        </c:ser>
        <c:dLbls>
          <c:showLegendKey val="0"/>
          <c:showVal val="0"/>
          <c:showCatName val="0"/>
          <c:showSerName val="0"/>
          <c:showPercent val="0"/>
          <c:showBubbleSize val="0"/>
        </c:dLbls>
        <c:axId val="2075078328"/>
        <c:axId val="2075083624"/>
      </c:scatterChart>
      <c:valAx>
        <c:axId val="2075078328"/>
        <c:scaling>
          <c:orientation val="minMax"/>
          <c:max val="0.15"/>
          <c:min val="0.0"/>
        </c:scaling>
        <c:delete val="0"/>
        <c:axPos val="b"/>
        <c:title>
          <c:tx>
            <c:rich>
              <a:bodyPr/>
              <a:lstStyle/>
              <a:p>
                <a:pPr>
                  <a:defRPr/>
                </a:pPr>
                <a:r>
                  <a:rPr lang="en-US"/>
                  <a:t>fraction of original culture</a:t>
                </a:r>
              </a:p>
            </c:rich>
          </c:tx>
          <c:overlay val="0"/>
        </c:title>
        <c:numFmt formatCode="#,##0.00" sourceLinked="0"/>
        <c:majorTickMark val="out"/>
        <c:minorTickMark val="none"/>
        <c:tickLblPos val="nextTo"/>
        <c:crossAx val="2075083624"/>
        <c:crosses val="autoZero"/>
        <c:crossBetween val="midCat"/>
        <c:majorUnit val="0.02"/>
      </c:valAx>
      <c:valAx>
        <c:axId val="2075083624"/>
        <c:scaling>
          <c:orientation val="minMax"/>
          <c:max val="0.6"/>
        </c:scaling>
        <c:delete val="0"/>
        <c:axPos val="l"/>
        <c:majorGridlines/>
        <c:title>
          <c:tx>
            <c:rich>
              <a:bodyPr rot="-5400000" vert="horz"/>
              <a:lstStyle/>
              <a:p>
                <a:pPr>
                  <a:defRPr/>
                </a:pPr>
                <a:r>
                  <a:rPr lang="en-US"/>
                  <a:t>OD (595 nm)</a:t>
                </a:r>
              </a:p>
            </c:rich>
          </c:tx>
          <c:overlay val="0"/>
        </c:title>
        <c:numFmt formatCode="General" sourceLinked="1"/>
        <c:majorTickMark val="out"/>
        <c:minorTickMark val="none"/>
        <c:tickLblPos val="nextTo"/>
        <c:crossAx val="2075078328"/>
        <c:crosses val="autoZero"/>
        <c:crossBetween val="midCat"/>
      </c:valAx>
    </c:plotArea>
    <c:plotVisOnly val="1"/>
    <c:dispBlanksAs val="gap"/>
    <c:showDLblsOverMax val="0"/>
  </c:chart>
  <c:txPr>
    <a:bodyPr/>
    <a:lstStyle/>
    <a:p>
      <a:pPr>
        <a:defRPr>
          <a:latin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0.07145</cdr:x>
      <cdr:y>0.7032</cdr:y>
    </cdr:from>
    <cdr:to>
      <cdr:x>0.17562</cdr:x>
      <cdr:y>0.85639</cdr:y>
    </cdr:to>
    <cdr:sp macro="" textlink="">
      <cdr:nvSpPr>
        <cdr:cNvPr id="2" name="Oval 1"/>
        <cdr:cNvSpPr/>
      </cdr:nvSpPr>
      <cdr:spPr>
        <a:xfrm xmlns:a="http://schemas.openxmlformats.org/drawingml/2006/main">
          <a:off x="392026" y="2623358"/>
          <a:ext cx="571500" cy="571500"/>
        </a:xfrm>
        <a:prstGeom xmlns:a="http://schemas.openxmlformats.org/drawingml/2006/main" prst="ellipse">
          <a:avLst/>
        </a:prstGeom>
        <a:noFill xmlns:a="http://schemas.openxmlformats.org/drawingml/2006/main"/>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0.55062</cdr:x>
      <cdr:y>0.12107</cdr:y>
    </cdr:from>
    <cdr:to>
      <cdr:x>0.98812</cdr:x>
      <cdr:y>0.45809</cdr:y>
    </cdr:to>
    <cdr:sp macro="" textlink="">
      <cdr:nvSpPr>
        <cdr:cNvPr id="3" name="Oval 2"/>
        <cdr:cNvSpPr/>
      </cdr:nvSpPr>
      <cdr:spPr>
        <a:xfrm xmlns:a="http://schemas.openxmlformats.org/drawingml/2006/main">
          <a:off x="3020926" y="451658"/>
          <a:ext cx="2400300" cy="1257300"/>
        </a:xfrm>
        <a:prstGeom xmlns:a="http://schemas.openxmlformats.org/drawingml/2006/main" prst="ellipse">
          <a:avLst/>
        </a:prstGeom>
        <a:noFill xmlns:a="http://schemas.openxmlformats.org/drawingml/2006/main"/>
        <a:ln xmlns:a="http://schemas.openxmlformats.org/drawingml/2006/main">
          <a:solidFill>
            <a:schemeClr val="tx1"/>
          </a:solidFill>
        </a:ln>
        <a:effectLst xmlns:a="http://schemas.openxmlformats.org/drawingml/2006/mai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sp>
  </cdr:relSizeAnchor>
</c:userShapes>
</file>

<file path=word/drawings/drawing2.xml><?xml version="1.0" encoding="utf-8"?>
<c:userShapes xmlns:c="http://schemas.openxmlformats.org/drawingml/2006/chart">
  <cdr:relSizeAnchor xmlns:cdr="http://schemas.openxmlformats.org/drawingml/2006/chartDrawing">
    <cdr:from>
      <cdr:x>0.32059</cdr:x>
      <cdr:y>0.15904</cdr:y>
    </cdr:from>
    <cdr:to>
      <cdr:x>0.32059</cdr:x>
      <cdr:y>0.35186</cdr:y>
    </cdr:to>
    <cdr:cxnSp macro="">
      <cdr:nvCxnSpPr>
        <cdr:cNvPr id="2" name="Straight Arrow Connector 1"/>
        <cdr:cNvCxnSpPr/>
      </cdr:nvCxnSpPr>
      <cdr:spPr>
        <a:xfrm xmlns:a="http://schemas.openxmlformats.org/drawingml/2006/main">
          <a:off x="1196187" y="377090"/>
          <a:ext cx="0" cy="457194"/>
        </a:xfrm>
        <a:prstGeom xmlns:a="http://schemas.openxmlformats.org/drawingml/2006/main" prst="straightConnector1">
          <a:avLst/>
        </a:prstGeom>
        <a:ln xmlns:a="http://schemas.openxmlformats.org/drawingml/2006/main">
          <a:solidFill>
            <a:schemeClr val="tx1"/>
          </a:solidFill>
          <a:tailEnd type="arrow"/>
        </a:ln>
        <a:effectLst xmlns:a="http://schemas.openxmlformats.org/drawingml/2006/mai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185B-3D38-6945-836B-29E20F18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2790</Words>
  <Characters>15906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dc:creator>
  <cp:keywords/>
  <dc:description/>
  <cp:lastModifiedBy>Steven Brewer</cp:lastModifiedBy>
  <cp:revision>2</cp:revision>
  <cp:lastPrinted>2016-10-07T19:47:00Z</cp:lastPrinted>
  <dcterms:created xsi:type="dcterms:W3CDTF">2020-08-28T13:54:00Z</dcterms:created>
  <dcterms:modified xsi:type="dcterms:W3CDTF">2020-08-28T13:54:00Z</dcterms:modified>
</cp:coreProperties>
</file>